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三套本科毕设·培养方案符合性分析报告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对标文件:</w:t>
      </w:r>
      <w:r>
        <w:rPr>
          <w:rFonts w:ascii="Times New Roman" w:hAnsi="Times New Roman" w:eastAsia="宋体"/>
          <w:b w:val="0"/>
          <w:sz w:val="24"/>
        </w:rPr>
        <w:t xml:space="preserve"> 环境工程专业本科人才培养方案（082502）- 2026级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分析日期:</w:t>
      </w:r>
      <w:r>
        <w:rPr>
          <w:rFonts w:ascii="Times New Roman" w:hAnsi="Times New Roman" w:eastAsia="宋体"/>
          <w:b w:val="0"/>
          <w:sz w:val="24"/>
        </w:rPr>
        <w:t xml:space="preserve"> 2026年6月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结论:</w:t>
      </w:r>
      <w:r>
        <w:rPr>
          <w:rFonts w:ascii="Times New Roman" w:hAnsi="Times New Roman" w:eastAsia="宋体"/>
          <w:b w:val="0"/>
          <w:sz w:val="24"/>
        </w:rPr>
        <w:t xml:space="preserve"> 三套20题全部符合培养方案要求，毕业要求0-11全覆盖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一、三套选题总览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套别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文件夹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论文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设计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总计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素材来源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核心视角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第一套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`本科生毕业设计-双轨8题-2026/`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论-1~4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设-1~4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8题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Web门户+迁移卡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学习者/测试者/建造者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第二套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`本科生毕业设计-专著双轨8题-2026/`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论-A1~A4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设-A1~A4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8题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专著理论+教学实录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验证者/分析者/开发着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第三套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`本科生毕业设计-工程设计4题-2026/`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设-B1~B4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4题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小说场景+专著框架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乙方工程师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二、毕业要求全覆盖映射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0. 品德修养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论-A4（课程思政效果分析）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直接分析思政教育实施效果——对应0.2"运用马克思主义立场、观点、方法解决社会实际问题"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1. 工程知识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论-A3（错配-修复框架适用性验证）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运用固废工程专业知识验证分析框架的适用边界——对应1.3"对复杂环境工程问题提出比较与综合的解决方案"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设-B1~B4（工程设计4题）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运用固废处理处置专业知识完成全流程工艺设计——对应1.1/1.2/1.3全过程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2. 问题分析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论-1/论-3/论-A1/论-A3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运用科学方法识别、表达并分析工程教育/工程案例中的关键问题——对应2.1/2.2/2.3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设-B1~B4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从叙事场景中识别真实工程问题并提炼设计参数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3. 设计/开发解决方案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**设-B1~B4**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**标准环境工程设计——对应3.1/3.2/3.3全流程：工艺设计+方案创新+多约束条件综合考虑**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注：第一/二套的Web设计类选题（设-1~4/设-A1~A4）亦部分支撑3.2"创新设计能力"，但以信息技术设计为主。纯粹的环境工程工艺设计由第三套专项承担。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4. 研究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论-1~4 + 论-A1~A4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8题采用质性/量化/混合研究方法，完成从实验设计到数据分析到有效结论的完整研究闭环——对应4.1/4.2/4.3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5. 使用现代工具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**设-1~4 + 设-A1~A4（Web前端开发8题）**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**培养方案5明确覆盖"信息技术工具"——HTML/CSS/JS/i18n等现代Web开发工具属于此范畴**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论-2（SPSS统计分析）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数据分析工具——对应5.2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论-4（Nielsen评估）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评价工具——对应5.3"理解工具局限性"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6. 工程与可持续发展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论-A2（小说接受度）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小说内容是固废工程的社会影响叙事——对应6.1/6.2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论-A4（课程思政）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工程伦理与社会责任——对应6.3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设-B1~B4（工程设计）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四个设计题均含环境影响评价与可持续发展分析章节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7. 工程伦理与职业规范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论-A4（课程思政）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直接对应7.1"工程报国意识与社会责任感"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设-B2（焚烧烟气净化）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设计中直接回应社区居民健康权益——对应7.2"恪守工程伦理"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8. 个人和团队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全部20题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所有选题要求学生独立完成——对应8.1"在团队中承担个体角色"。如需强化协作维度，可在答辩或中期检查中增加小组互评环节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9. 沟通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全部20题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所有选题均含"撰写报告/设计文稿/陈述发言"——论文写作、设计说明书、答辩PPT、Web页面设计均为沟通能力训练——对应9.1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论-4（多语种无障碍性）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跨文化沟通——对应9.2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10. 项目管理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设-B1/B4（工程设计）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含工程经济概算与成本分析——对应10.1/10.2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11. 终身学习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支撑选题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映射逻辑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全部20题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所有选题要求学生自主学习专著内容、自学前端技术、自学研究方法——"能够理解广泛的技术变革对工程和社会的影响，适应新技术变革"——对应11.1/11.2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特别突出: 设-1~4/设-A1~A4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Web前端技术+国际化框架属于"新技术变革"范畴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三、符合性热力图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第一套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第二套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第三套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总覆盖率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 品德修养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论-A4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论-A3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设-B1~4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论-1/3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论-A1/3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设-B1~4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Web设计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Web设计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工程设计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4题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4题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现代工具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Web+SPSS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Web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可持续发展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论-A2/4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设-B1~4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 工程伦理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论-A4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设-B2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 个人和团队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隐式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隐式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隐式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9. 沟通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8题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8题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4题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项目管理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设-B1/4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11. 终身学习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8题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 8题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4题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✅✅✅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四、第三套的补充价值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补前（16题）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补后（20题）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毕业要求1（工程知识）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弱支撑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**论-A3 + 设-B1~4 强支撑**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毕业要求3（工程设计）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**缺失**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**设-B1~4 专项覆盖**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毕业要求10（项目管理）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**缺失**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**设-B1/4 含经济分析**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毕设类型多样性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论文+Web设计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**论文+Web设计+工程设计**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五、创新风险控制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审稿人/答辩专家可能质疑的回应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质疑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"教育类选题是不是跑题？"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"分析对象是固废课程的教学数据——使用的是工程领域通用的分析方法。工程教育研究是工程认证明确要求的'终身学习'和'现代工具'能力体现。"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"Web设计算不算工程设计？"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"毕业要求5原文明确覆盖'信息技术工具'和'现代工程工具'——HTML/CSS/JS/i18n 属于此范畴。同时补充了第三套传统工程设计作为毕业要求3的专项支撑。"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"小说当工程依据科学吗？"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"小说提供问题情境和约束条件。计算依据来自国家设计规范(GB/HJ/CJJ系列)。小说是触发器，规范是计算书——这是工程咨询领域'场景驱动设计'的标准方法论。"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六、结论</w:t>
      </w:r>
    </w:p>
    <w:p>
      <w:r>
        <w:rPr>
          <w:rFonts w:ascii="Times New Roman" w:hAnsi="Times New Roman" w:eastAsia="宋体"/>
          <w:b/>
          <w:sz w:val="24"/>
        </w:rPr>
        <w:t>三套20题全部符合环境工程专业培养方案要求，毕业要求0-11全覆盖。</w:t>
      </w:r>
    </w:p>
    <w:p>
      <w:r>
        <w:rPr>
          <w:rFonts w:ascii="Times New Roman" w:hAnsi="Times New Roman" w:eastAsia="宋体"/>
          <w:b w:val="0"/>
          <w:sz w:val="24"/>
        </w:rPr>
        <w:t>- 第一套(Web门户版): 侧重"学习者视角验证" + "前端建造" → 毕业要求2/4/5/9/11</w:t>
      </w:r>
    </w:p>
    <w:p>
      <w:r>
        <w:rPr>
          <w:rFonts w:ascii="Times New Roman" w:hAnsi="Times New Roman" w:eastAsia="宋体"/>
          <w:b w:val="0"/>
          <w:sz w:val="24"/>
        </w:rPr>
        <w:t>- 第二套(专著版): 侧重"理论验证" + "教学工具开发" → 毕业要求1/2/4/5/6/7/9/11</w:t>
      </w:r>
    </w:p>
    <w:p>
      <w:r>
        <w:rPr>
          <w:rFonts w:ascii="Times New Roman" w:hAnsi="Times New Roman" w:eastAsia="宋体"/>
          <w:b w:val="0"/>
          <w:sz w:val="24"/>
        </w:rPr>
        <w:t>- 第三套(工程设计版): 侧重"传统工程设计" → 毕业要求1/2/3/5/6/7/9/10</w:t>
      </w:r>
    </w:p>
    <w:p>
      <w:r>
        <w:rPr>
          <w:rFonts w:ascii="Times New Roman" w:hAnsi="Times New Roman" w:eastAsia="宋体"/>
          <w:b w:val="0"/>
          <w:sz w:val="24"/>
        </w:rPr>
        <w:t>三套并立，类型互补，无知识性重复，覆盖学生多元能力倾向。</w:t>
      </w:r>
    </w:p>
    <w:p>
      <w:r>
        <w:rPr>
          <w:rFonts w:ascii="Times New Roman" w:hAnsi="Times New Roman" w:eastAsia="宋体"/>
          <w:b w:val="0"/>
          <w:sz w:val="24"/>
        </w:rPr>
        <w:t>*分析依据: 成都大学环境工程专业本科人才培养方案（082502）- 2026级（2026.5.25）*</w:t>
      </w:r>
    </w:p>
    <w:p>
      <w:r>
        <w:rPr>
          <w:rFonts w:ascii="Times New Roman" w:hAnsi="Times New Roman" w:eastAsia="宋体"/>
          <w:b w:val="0"/>
          <w:sz w:val="24"/>
        </w:rPr>
        <w:t>*文件位置: 演示展示\三套毕设-培养方案符合性分析-2026.md*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七、校级制度对标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校级制度文件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核心条款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三套20题的对应关系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成都大学毕业设计（论文）管理办法（修订）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选题原则、指导教师职责、答辩要求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全部20题均遵守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成都大学专业认证实施办法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毕业要求达成度评价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符合性热力图直接对标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成都大学课堂教学基本规范（修订）(成大教〔2024〕70号)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教学行为准则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论-1/论-A1/论-A4 的分析背景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学位论文作假行为处理办法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学术诚信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全部20题均需遵守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成都大学本科专业毕业要求达成情况评价实施办法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12条毕业要求的达成评价方法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本报告第三章即为达成评价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《固废处理处置课程设计》指导书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考核标准/格式规范/学术诚信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第三套工程设计4题以课设为基础延伸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000000"/>
        </w:rPr>
        <w:t>结论</w:t>
      </w:r>
    </w:p>
    <w:p>
      <w:r>
        <w:rPr>
          <w:rFonts w:ascii="Times New Roman" w:hAnsi="Times New Roman" w:eastAsia="宋体"/>
          <w:b w:val="0"/>
          <w:sz w:val="24"/>
        </w:rPr>
        <w:t>三套20题不仅符合工程教育认证标准，同时符合</w:t>
      </w:r>
      <w:r>
        <w:rPr>
          <w:rFonts w:ascii="Times New Roman" w:hAnsi="Times New Roman" w:eastAsia="宋体"/>
          <w:b/>
          <w:sz w:val="24"/>
        </w:rPr>
        <w:t>成都大学校级教学管理制度</w:t>
      </w:r>
      <w:r>
        <w:rPr>
          <w:rFonts w:ascii="Times New Roman" w:hAnsi="Times New Roman" w:eastAsia="宋体"/>
          <w:b w:val="0"/>
          <w:sz w:val="24"/>
        </w:rPr>
        <w:t>中关于毕业设计选题、毕业要求达成评价、学术诚信的全部规定。课程设计指导书的考核标准（数据真实/内容完整/计算准确/语言流畅/格式规范）为毕设质量评价提供了直接的操作性对标。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