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18"/>
          <w:highlight w:val="yellow"/>
        </w:rPr>
      </w:pPr>
      <w:r>
        <w:rPr>
          <w:rFonts w:hint="default"/>
          <w:sz w:val="18"/>
          <w:szCs w:val="18"/>
          <w:highlight w:val="yellow"/>
        </w:rPr>
        <w:t>Towards an efficient anomaly-based intrusion</w:t>
      </w:r>
      <w:r>
        <w:rPr>
          <w:rFonts w:hint="eastAsia"/>
          <w:sz w:val="18"/>
          <w:szCs w:val="18"/>
          <w:highlight w:val="yellow"/>
          <w:lang w:val="en-US" w:eastAsia="zh-CN"/>
        </w:rPr>
        <w:t xml:space="preserve"> </w:t>
      </w:r>
      <w:r>
        <w:rPr>
          <w:rFonts w:hint="default"/>
          <w:sz w:val="18"/>
          <w:szCs w:val="18"/>
          <w:highlight w:val="yellow"/>
        </w:rPr>
        <w:t>detection for software-defined networks</w:t>
      </w:r>
    </w:p>
    <w:p>
      <w:pPr>
        <w:ind w:left="4620" w:leftChars="0" w:firstLine="420" w:firstLineChars="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default"/>
          <w:sz w:val="18"/>
          <w:szCs w:val="18"/>
          <w:highlight w:val="yellow"/>
        </w:rPr>
        <w:t>IET Networks</w:t>
      </w:r>
      <w:r>
        <w:rPr>
          <w:rFonts w:hint="eastAsia"/>
          <w:sz w:val="18"/>
          <w:szCs w:val="18"/>
          <w:highlight w:val="yellow"/>
          <w:lang w:val="en-US" w:eastAsia="zh-CN"/>
        </w:rPr>
        <w:t xml:space="preserve"> </w:t>
      </w:r>
    </w:p>
    <w:p>
      <w:pPr>
        <w:ind w:left="4620" w:leftChars="0" w:firstLine="420" w:firstLineChars="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Revised 19th July 2018</w:t>
      </w:r>
    </w:p>
    <w:p>
      <w:pPr>
        <w:ind w:left="4620" w:leftChars="0" w:firstLine="420" w:firstLineChars="0"/>
        <w:rPr>
          <w:rFonts w:hint="eastAsia"/>
          <w:sz w:val="18"/>
          <w:szCs w:val="18"/>
          <w:highlight w:val="yellow"/>
          <w:lang w:val="en-US" w:eastAsia="zh-CN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highlight w:val="yellow"/>
        </w:rPr>
        <w:t>基于异常的ID</w:t>
      </w:r>
      <w:r>
        <w:rPr>
          <w:rFonts w:hint="eastAsia"/>
          <w:sz w:val="18"/>
          <w:szCs w:val="18"/>
          <w:highlight w:val="yellow"/>
          <w:lang w:val="en-US" w:eastAsia="zh-CN"/>
        </w:rPr>
        <w:t>S</w:t>
      </w:r>
      <w:r>
        <w:rPr>
          <w:rFonts w:hint="default"/>
          <w:sz w:val="18"/>
          <w:szCs w:val="18"/>
          <w:highlight w:val="yellow"/>
        </w:rPr>
        <w:t>可以分为三大类[5]：基于统计的方法、基于知识的方法和基于机器学习的方法。</w:t>
      </w:r>
      <w:r>
        <w:rPr>
          <w:rFonts w:hint="default"/>
          <w:sz w:val="18"/>
          <w:szCs w:val="18"/>
        </w:rPr>
        <w:t>在本研究中，我们主要研究基于机器学习的方法。机器学习技术可分为四大类：（i）监督技术，（i i）半监督技术，（i i i）无监督技术和（iv）强化技术。</w:t>
      </w:r>
      <w:r>
        <w:rPr>
          <w:rFonts w:hint="default"/>
          <w:sz w:val="18"/>
          <w:szCs w:val="18"/>
        </w:rPr>
        <w:t>在本研究中，我们研究了各种监督学习技术，包括其准确性、误报率（FAR）、精确度、回忆、F1测量、接收操作员特征曲线下面积（ROC）、McNemar测试以及训练和测试每个分类器所需的时间。</w:t>
      </w:r>
    </w:p>
    <w:p>
      <w:pPr>
        <w:rPr>
          <w:rFonts w:hint="default"/>
          <w:sz w:val="18"/>
          <w:szCs w:val="18"/>
        </w:rPr>
      </w:pPr>
      <w:r>
        <w:drawing>
          <wp:inline distT="0" distB="0" distL="114300" distR="114300">
            <wp:extent cx="5267325" cy="1728470"/>
            <wp:effectExtent l="0" t="0" r="952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8"/>
          <w:szCs w:val="18"/>
          <w:lang w:eastAsia="zh-CN"/>
        </w:rPr>
      </w:pPr>
    </w:p>
    <w:p>
      <w:pPr>
        <w:outlineLvl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 数据集：</w:t>
      </w:r>
    </w:p>
    <w:p>
      <w:pPr>
        <w:ind w:firstLine="360" w:firstLineChars="200"/>
        <w:rPr>
          <w:rFonts w:hint="default" w:cs="Times New Roman"/>
          <w:kern w:val="2"/>
          <w:sz w:val="18"/>
          <w:szCs w:val="18"/>
          <w:highlight w:val="yellow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highlight w:val="yellow"/>
          <w:lang w:val="en-US" w:eastAsia="zh-CN" w:bidi="ar-SA"/>
        </w:rPr>
        <w:t>我们使用了nsl-kdd数据集</w:t>
      </w:r>
    </w:p>
    <w:p>
      <w:pPr>
        <w:ind w:firstLine="360" w:firstLineChars="200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kdd cup99和nsl-kdd数据集都包含表2中所示的特性。值得一提的是，这些特性分为四个不同的类别，如表3所述。</w:t>
      </w:r>
    </w:p>
    <w:p>
      <w:pPr>
        <w:ind w:firstLine="420" w:firstLineChars="200"/>
      </w:pPr>
      <w:r>
        <w:drawing>
          <wp:inline distT="0" distB="0" distL="114300" distR="114300">
            <wp:extent cx="5264150" cy="2129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09540" cy="2286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default" w:cs="Times New Roman"/>
          <w:kern w:val="2"/>
          <w:sz w:val="18"/>
          <w:szCs w:val="18"/>
          <w:highlight w:val="yellow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如表4所示，</w:t>
      </w:r>
      <w:r>
        <w:rPr>
          <w:rFonts w:hint="default" w:cs="Times New Roman"/>
          <w:kern w:val="2"/>
          <w:sz w:val="18"/>
          <w:szCs w:val="18"/>
          <w:highlight w:val="yellow"/>
          <w:lang w:val="en-US" w:eastAsia="zh-CN" w:bidi="ar-SA"/>
        </w:rPr>
        <w:t>NSL-KDD共包括39次攻击，其中每一次都被分为以下四类（DOS、R2L、U2R和Probe）</w:t>
      </w:r>
    </w:p>
    <w:p>
      <w:p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 xml:space="preserve">此外，这些攻击中的一组只在测试集中引入。这些新攻击以粗体显示。  </w:t>
      </w:r>
    </w:p>
    <w:p>
      <w:p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 xml:space="preserve">此外，表5显示了NSL-KDD训练和测试集中的正常和攻击记录分布。 </w:t>
      </w:r>
    </w:p>
    <w:p>
      <w:pPr>
        <w:tabs>
          <w:tab w:val="left" w:pos="3232"/>
        </w:tabs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</w:p>
    <w:p>
      <w:pPr>
        <w:tabs>
          <w:tab w:val="left" w:pos="3232"/>
        </w:tabs>
        <w:jc w:val="left"/>
        <w:outlineLvl w:val="0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4 特征提取</w:t>
      </w:r>
    </w:p>
    <w:p>
      <w:pPr>
        <w:tabs>
          <w:tab w:val="left" w:pos="3232"/>
        </w:tabs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在训练集上应用主成分分析</w:t>
      </w:r>
    </w:p>
    <w:p>
      <w:pPr>
        <w:ind w:firstLine="360" w:firstLineChars="200"/>
        <w:outlineLvl w:val="1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PCA的标准方法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的步骤：</w:t>
      </w:r>
    </w:p>
    <w:p>
      <w:pPr>
        <w:numPr>
          <w:ilvl w:val="0"/>
          <w:numId w:val="1"/>
        </w:numPr>
        <w:tabs>
          <w:tab w:val="left" w:pos="3232"/>
        </w:tabs>
        <w:ind w:firstLine="360" w:firstLineChars="200"/>
        <w:jc w:val="left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 xml:space="preserve">求归一化D维数据集的协方差矩阵。 </w:t>
      </w:r>
    </w:p>
    <w:p>
      <w:pPr>
        <w:numPr>
          <w:ilvl w:val="0"/>
          <w:numId w:val="1"/>
        </w:num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找出协方差矩阵的特征向量和特征值。</w:t>
      </w:r>
    </w:p>
    <w:p>
      <w:pPr>
        <w:numPr>
          <w:ilvl w:val="0"/>
          <w:numId w:val="1"/>
        </w:num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按降序对特征值进行排序。</w:t>
      </w:r>
    </w:p>
    <w:p>
      <w:pPr>
        <w:numPr>
          <w:ilvl w:val="0"/>
          <w:numId w:val="1"/>
        </w:num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选择对应于k个最大特征值的k个特征向量。</w:t>
      </w:r>
    </w:p>
    <w:p>
      <w:pPr>
        <w:numPr>
          <w:ilvl w:val="0"/>
          <w:numId w:val="1"/>
        </w:num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从k个选择的特征向量构造投影矩阵。</w:t>
      </w:r>
    </w:p>
    <w:p>
      <w:pPr>
        <w:numPr>
          <w:ilvl w:val="0"/>
          <w:numId w:val="1"/>
        </w:num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变换原始数据集以获得新的k维特征空间。</w:t>
      </w:r>
    </w:p>
    <w:p>
      <w:p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</w:p>
    <w:p>
      <w:pPr>
        <w:tabs>
          <w:tab w:val="left" w:pos="3232"/>
        </w:tabs>
        <w:ind w:firstLine="360" w:firstLineChars="200"/>
        <w:jc w:val="left"/>
        <w:outlineLvl w:val="1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在本研究中，我们按以下步骤使用PCA：</w:t>
      </w:r>
    </w:p>
    <w:p>
      <w:p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3232"/>
        </w:tabs>
        <w:ind w:firstLine="360" w:firstLineChars="200"/>
        <w:jc w:val="left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首先，我们从主成分中提取具有最大系数的特征。</w:t>
      </w:r>
    </w:p>
    <w:p>
      <w:pPr>
        <w:numPr>
          <w:ilvl w:val="0"/>
          <w:numId w:val="2"/>
        </w:numPr>
        <w:tabs>
          <w:tab w:val="left" w:pos="3232"/>
        </w:tabs>
        <w:ind w:firstLine="360" w:firstLineChars="200"/>
        <w:jc w:val="left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其次，我们选择对应于k个最大特征值的k个本征向量。</w:t>
      </w:r>
    </w:p>
    <w:p>
      <w:pPr>
        <w:numPr>
          <w:ilvl w:val="0"/>
          <w:numId w:val="2"/>
        </w:numPr>
        <w:tabs>
          <w:tab w:val="left" w:pos="3232"/>
        </w:tabs>
        <w:ind w:firstLine="360" w:firstLineChars="200"/>
        <w:jc w:val="left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第三，我们使用来自k个选择的特征向量的投影矩阵来变换具有相应特征的原始数据集。</w:t>
      </w:r>
    </w:p>
    <w:p>
      <w:pPr>
        <w:numPr>
          <w:ilvl w:val="0"/>
          <w:numId w:val="2"/>
        </w:numPr>
        <w:tabs>
          <w:tab w:val="left" w:pos="3232"/>
        </w:tabs>
        <w:ind w:firstLine="360" w:firstLineChars="200"/>
        <w:jc w:val="left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最后，</w:t>
      </w:r>
      <w:r>
        <w:rPr>
          <w:rFonts w:hint="default" w:cs="Times New Roman"/>
          <w:color w:val="0000FF"/>
          <w:kern w:val="2"/>
          <w:sz w:val="18"/>
          <w:szCs w:val="18"/>
          <w:lang w:val="en-US" w:eastAsia="zh-CN" w:bidi="ar-SA"/>
        </w:rPr>
        <w:t>我们通过在训练测试中</w:t>
      </w:r>
      <w:r>
        <w:rPr>
          <w:rFonts w:hint="default" w:cs="Times New Roman"/>
          <w:color w:val="0000FF"/>
          <w:kern w:val="2"/>
          <w:sz w:val="18"/>
          <w:szCs w:val="18"/>
          <w:highlight w:val="yellow"/>
          <w:lang w:val="en-US" w:eastAsia="zh-CN" w:bidi="ar-SA"/>
        </w:rPr>
        <w:t>应用DT方法</w:t>
      </w:r>
      <w:r>
        <w:rPr>
          <w:rFonts w:hint="default" w:cs="Times New Roman"/>
          <w:color w:val="0000FF"/>
          <w:kern w:val="2"/>
          <w:sz w:val="18"/>
          <w:szCs w:val="18"/>
          <w:lang w:val="en-US" w:eastAsia="zh-CN" w:bidi="ar-SA"/>
        </w:rPr>
        <w:t>来验证所选特征和相应k分量的性能。</w:t>
      </w:r>
    </w:p>
    <w:p>
      <w:pPr>
        <w:ind w:firstLine="360" w:firstLineChars="200"/>
        <w:rPr>
          <w:rFonts w:hint="eastAsia" w:cs="Times New Roman"/>
          <w:kern w:val="2"/>
          <w:sz w:val="18"/>
          <w:szCs w:val="18"/>
          <w:lang w:val="en-US" w:eastAsia="zh-CN" w:bidi="ar-SA"/>
        </w:rPr>
      </w:pPr>
    </w:p>
    <w:p>
      <w:pPr>
        <w:outlineLvl w:val="0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5 评估指标 ：</w:t>
      </w:r>
    </w:p>
    <w:p>
      <w:pPr>
        <w:ind w:firstLine="360" w:firstLineChars="200"/>
        <w:rPr>
          <w:rFonts w:hint="default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根据准确度，FAR，精确度，召回率，F1测量值，ROC曲线下面积[曲线下面积（AUC）]，执行时间和McNemar测试来评估每个分类器的性能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default" w:cs="Times New Roman"/>
          <w:kern w:val="2"/>
          <w:sz w:val="18"/>
          <w:szCs w:val="18"/>
          <w:lang w:val="en-US" w:eastAsia="zh-CN" w:bidi="ar-SA"/>
        </w:rPr>
        <w:t>一个好的IDS应该实现高水平的准确性，精确度，召回率和低FAR的F1测量。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(1)准确度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978660" cy="26860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真阳性（TP）是正确分类的攻击记录数；真阴性（TN）是正确分类的正常流量记录数；假阳性（FP）是错误分类的正常流量记录数，假阴性（FN）是错误分类的攻击记录数。</w:t>
      </w:r>
    </w:p>
    <w:p>
      <w:pPr>
        <w:numPr>
          <w:ilvl w:val="0"/>
          <w:numId w:val="3"/>
        </w:numPr>
        <w:ind w:firstLine="420"/>
        <w:outlineLvl w:val="1"/>
        <w:rPr>
          <w:rFonts w:hint="eastAsia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FAR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36090" cy="220980"/>
            <wp:effectExtent l="0" t="0" r="165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每个分类器的精度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687195" cy="2152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</w:t>
      </w:r>
    </w:p>
    <w:p>
      <w:pPr>
        <w:numPr>
          <w:ilvl w:val="0"/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1595755" cy="23050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F1度量</w:t>
      </w:r>
    </w:p>
    <w:p>
      <w:pPr>
        <w:numPr>
          <w:ilvl w:val="0"/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2905125" cy="324485"/>
            <wp:effectExtent l="0" t="0" r="952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ROC的曲线分析（AUC）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McNemar检验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此外，我们还根据执行时间以及ROC曲线的分析来评估先前选择的分类器的性能，其</w:t>
      </w:r>
      <w:r>
        <w:rPr>
          <w:rFonts w:hint="eastAsia"/>
          <w:highlight w:val="yellow"/>
          <w:lang w:val="en-US" w:eastAsia="zh-CN"/>
        </w:rPr>
        <w:t>中AUC可用于将每个分类器与另一个分类器进行比较。AUC越高，IDS越好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yellow"/>
          <w:lang w:val="en-US" w:eastAsia="zh-CN"/>
        </w:rPr>
        <w:t>另一个可用于比较两种算法的重要指标是McNemar检验</w:t>
      </w:r>
      <w:r>
        <w:rPr>
          <w:rFonts w:hint="eastAsia"/>
          <w:lang w:val="en-US" w:eastAsia="zh-CN"/>
        </w:rPr>
        <w:t>，这是一种非参数对检验，表明一种算法相对于另一种算法实现了统计上显着的增加。当McNemar检验的z值&gt; 1.96（p &lt;0.05）时，结论是两个算法之间存在显着差异。</w:t>
      </w:r>
      <w:r>
        <w:rPr>
          <w:rFonts w:hint="default"/>
          <w:lang w:val="en-US" w:eastAsia="zh-CN"/>
        </w:rPr>
        <w:t>Z-score用于显示置信水平[20]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实验结果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这九个选定的功能是F27，F30，F5，F23，F8，F1，F2，F39和F3。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在表7和表8中，可以观察到与使用SDN控制器（F1，F2，F5，F6，F23和F24）提供的基本特征相比，</w:t>
      </w:r>
      <w:r>
        <w:rPr>
          <w:rFonts w:hint="eastAsia"/>
          <w:highlight w:val="red"/>
          <w:lang w:val="en-US" w:eastAsia="zh-CN"/>
        </w:rPr>
        <w:t>使用PCA特征选择增强了大多数分类器的准确度水平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066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AUC(ROC)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召回率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F1-度量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ind w:firstLine="346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FAR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0.997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83.24%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96.50%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89.38%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3.99%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0.891s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0.997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3.49%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2.977s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LogitBoost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highlight w:val="yellow"/>
                <w:vertAlign w:val="baseline"/>
                <w:lang w:val="en-US" w:eastAsia="zh-CN"/>
              </w:rPr>
              <w:t>97.24%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2.83%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9.158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0.1756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AdaBoost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80.23%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96.65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87.67%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BaggingTrees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0.993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96.56%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3.51%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RUSBoost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77.41%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85.95%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ELM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75.86%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85.71%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73.98%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3.57%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0.1744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tabs>
                <w:tab w:val="center" w:pos="41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KNN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82.31%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96.41%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82.17%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3.53%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12.3421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1.9385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232"/>
        </w:tabs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另一方面，从图4b可以看出ELM方法达到了最佳测试时间。此外，ELM已经实现了可接受的FAR，如表7所示。因此，ELM及其改进的分层方法[22]可能是SDN的有效选择。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尽管KNN方法在测试阶段具有良好的准确性，但它显示出最差的测试时间，这可能表明KNN算法不是SDN的最佳选择，其中每个控制器可能需要 每秒处理数千个流量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通过应用适当的采样方法减少训练实例的数量，可以实现对该问题的可能解决方案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r>
        <w:rPr>
          <w:rFonts w:hint="default"/>
          <w:highlight w:val="yellow"/>
          <w:lang w:val="en-US" w:eastAsia="zh-CN"/>
        </w:rPr>
        <w:t>我们使用PCA方法进行特征选择和降维。</w:t>
      </w:r>
      <w:r>
        <w:rPr>
          <w:rFonts w:hint="default"/>
          <w:lang w:val="en-US" w:eastAsia="zh-CN"/>
        </w:rPr>
        <w:t>使用NSL-KDD数据集并基于我们的实验研究，我们得出结论，</w:t>
      </w:r>
      <w:r>
        <w:rPr>
          <w:rFonts w:hint="default"/>
          <w:highlight w:val="yellow"/>
          <w:lang w:val="en-US" w:eastAsia="zh-CN"/>
        </w:rPr>
        <w:t>DT方法在准确性，精确度，F1测量，AUC和McNemar测试方面表现出最佳性能</w:t>
      </w:r>
      <w:r>
        <w:rPr>
          <w:rFonts w:hint="eastAsia"/>
          <w:highlight w:val="yellow"/>
          <w:lang w:val="en-US" w:eastAsia="zh-CN"/>
        </w:rPr>
        <w:t>。</w:t>
      </w:r>
      <w:r>
        <w:rPr>
          <w:rFonts w:hint="default"/>
          <w:lang w:val="en-US" w:eastAsia="zh-CN"/>
        </w:rPr>
        <w:t>与SDN控制器提供的基本功能相比，</w:t>
      </w:r>
      <w:r>
        <w:rPr>
          <w:rFonts w:hint="default"/>
          <w:highlight w:val="red"/>
          <w:lang w:val="en-US" w:eastAsia="zh-CN"/>
        </w:rPr>
        <w:t>使用PCA方法非常成功地将准确度从80.31提高到88.74％。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D946F7"/>
    <w:multiLevelType w:val="singleLevel"/>
    <w:tmpl w:val="A1D946F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E4C9A9"/>
    <w:multiLevelType w:val="singleLevel"/>
    <w:tmpl w:val="D5E4C9A9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734E2D8B"/>
    <w:multiLevelType w:val="singleLevel"/>
    <w:tmpl w:val="734E2D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A4B16"/>
    <w:rsid w:val="01394078"/>
    <w:rsid w:val="17063940"/>
    <w:rsid w:val="29851094"/>
    <w:rsid w:val="5A7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2019-03-14T05:44:00Z</dcterms:created>
  <dc:creator>蘅芜君</dc:creator>
  <cp:lastModifiedBy>蘅芜君</cp:lastModifiedBy>
  <dcterms:modified xsi:type="dcterms:W3CDTF">2019-03-22T06:49:20Z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