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 Detection Method for Anomaly Flow in Software Defined Network</w:t>
      </w:r>
    </w:p>
    <w:p>
      <w:pPr>
        <w:outlineLvl w:val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>IEEE/2018</w:t>
      </w:r>
    </w:p>
    <w:p>
      <w:pPr>
        <w:outlineLvl w:val="0"/>
        <w:rPr>
          <w:color w:val="FF0000"/>
          <w:highlight w:val="none"/>
          <w:lang w:val="en-US"/>
        </w:rPr>
      </w:pPr>
      <w:r>
        <w:rPr>
          <w:color w:val="FF0000"/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126365</wp:posOffset>
                </wp:positionV>
                <wp:extent cx="1055370" cy="373380"/>
                <wp:effectExtent l="6350" t="6350" r="2413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2610" y="1040765"/>
                          <a:ext cx="1055370" cy="373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3pt;margin-top:9.95pt;height:29.4pt;width:83.1pt;z-index:251658240;v-text-anchor:middle;mso-width-relative:page;mso-height-relative:page;" filled="f" stroked="t" coordsize="21600,21600" o:gfxdata="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GK1PNoAAAAJAQAADwAAAAAAAAABACAAAAAiAAAAZHJzL2Rvd25yZXYu&#10;eG1sUEsBAhQAFAAAAAgAh07iQJD3CP9rAgAAqgQAAA4AAAAAAAAAAQAgAAAAKQEAAGRycy9lMm9E&#10;b2MueG1sUEsFBgAAAAAGAAYAWQEAAA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FF0000"/>
          <w:highlight w:val="none"/>
          <w:lang w:val="en-US" w:eastAsia="zh-CN"/>
        </w:rPr>
        <w:t>一、整体结构</w:t>
      </w:r>
      <w:bookmarkStart w:id="0" w:name="_GoBack"/>
      <w:bookmarkEnd w:id="0"/>
    </w:p>
    <w:p>
      <w:pPr>
        <w:ind w:firstLine="3570" w:firstLineChars="1700"/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67310</wp:posOffset>
                </wp:positionV>
                <wp:extent cx="161290" cy="798830"/>
                <wp:effectExtent l="0" t="4445" r="48260" b="15875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7200" y="1179830"/>
                          <a:ext cx="161290" cy="7988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46pt;margin-top:5.3pt;height:62.9pt;width:12.7pt;z-index:251679744;mso-width-relative:page;mso-height-relative:page;" filled="f" stroked="t" coordsize="21600,21600" o:gfxdata="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In3XLYAAAACgEAAA8A&#10;AAAAAAAAAQAgAAAAIgAAAGRycy9kb3ducmV2LnhtbFBLAQIUABQAAAAIAIdO4kBfj3bY3gEAAHgD&#10;AAAOAAAAAAAAAAEAIAAAACcBAABkcnMvZTJvRG9jLnhtbFBLBQYAAAAABgAGAFkBAAB3BQAAAAA=&#10;" adj="36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采集流量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103505</wp:posOffset>
                </wp:positionV>
                <wp:extent cx="0" cy="219710"/>
                <wp:effectExtent l="48895" t="0" r="65405" b="88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630295" y="1414145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85pt;margin-top:8.15pt;height:17.3pt;width:0pt;z-index:251659264;mso-width-relative:page;mso-height-relative:page;" filled="f" stroked="t" coordsize="21600,21600" o:gfxdata="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GEi+nVAAAACQEAAA8AAAAAAAAAAQAgAAAAIgAAAGRy&#10;cy9kb3ducmV2LnhtbFBLAQIUABQAAAAIAIdO4kBfLjdNCAIAAMEDAAAOAAAAAAAAAAEAIAAAACQ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28"/>
        </w:tabs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125095</wp:posOffset>
                </wp:positionV>
                <wp:extent cx="1069340" cy="374015"/>
                <wp:effectExtent l="6350" t="6350" r="1016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7215" y="1633855"/>
                          <a:ext cx="1069340" cy="374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pt;margin-top:9.85pt;height:29.45pt;width:84.2pt;z-index:251660288;v-text-anchor:middle;mso-width-relative:page;mso-height-relative:page;" filled="f" stroked="t" coordsize="21600,21600" o:gfxdata="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VeU2XaAAAACQEAAA8AAAAAAAAAAQAgAAAAIgAAAGRycy9kb3ducmV2Lnht&#10;bFBLAQIUABQAAAAIAIdO4kDfK5heaQIAAKoEAAAOAAAAAAAAAAEAIAAAACk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控制器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特征提取</w: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112395</wp:posOffset>
                </wp:positionV>
                <wp:extent cx="0" cy="219710"/>
                <wp:effectExtent l="48895" t="0" r="65405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85pt;margin-top:8.85pt;height:17.3pt;width:0pt;z-index:251662336;mso-width-relative:page;mso-height-relative:page;" filled="f" stroked="t" coordsize="21600,21600" o:gfxdata="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abw&#10;5tYAAAAJAQAADwAAAAAAAAABACAAAAAiAAAAZHJzL2Rvd25yZXYueG1sUEsBAhQAFAAAAAgAh07i&#10;QEtkPADrAQAAjw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133985</wp:posOffset>
                </wp:positionV>
                <wp:extent cx="1069340" cy="374015"/>
                <wp:effectExtent l="6350" t="6350" r="1016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4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65pt;margin-top:10.55pt;height:29.45pt;width:84.2pt;z-index:251665408;v-text-anchor:middle;mso-width-relative:page;mso-height-relative:page;" filled="f" stroked="t" coordsize="21600,21600" o:gfxdata="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VlEjT2gAAAAkBAAAPAAAAAAAAAAEAIAAAACIAAABkcnMvZG93bnJldi54bWxQSwECFAAUAAAA&#10;CACHTuJAs7zVA14CAACeBAAADgAAAAAAAAABACAAAAAp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26670</wp:posOffset>
                </wp:positionV>
                <wp:extent cx="161290" cy="798830"/>
                <wp:effectExtent l="0" t="4445" r="48260" b="15875"/>
                <wp:wrapNone/>
                <wp:docPr id="11" name="右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7988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46pt;margin-top:2.1pt;height:62.9pt;width:12.7pt;z-index:251702272;mso-width-relative:page;mso-height-relative:page;" filled="f" stroked="t" coordsize="21600,21600" o:gfxdata="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61dva1wAAAAkBAAAPAAAAAAAAAAEAIAAA&#10;ACIAAABkcnMvZG93bnJldi54bWxQSwECFAAUAAAACACHTuJAXuccH9QBAABsAwAADgAAAAAAAAAB&#10;ACAAAAAmAQAAZHJzL2Uyb0RvYy54bWxQSwUGAAAAAAYABgBZAQAAbAUAAAAA&#10;" adj="36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预处理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121285</wp:posOffset>
                </wp:positionV>
                <wp:extent cx="0" cy="219710"/>
                <wp:effectExtent l="48895" t="0" r="65405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85pt;margin-top:9.55pt;height:17.3pt;width:0pt;z-index:251670528;mso-width-relative:page;mso-height-relative:page;" filled="f" stroked="t" coordsize="21600,21600" o:gfxdata="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7Rb&#10;y9UAAAAJAQAADwAAAAAAAAABACAAAAAiAAAAZHJzL2Rvd25yZXYueG1sUEsBAhQAFAAAAAgAh07i&#10;QHrJAIXsAQAAjw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74"/>
        </w:tabs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128905</wp:posOffset>
                </wp:positionV>
                <wp:extent cx="1069340" cy="374015"/>
                <wp:effectExtent l="6350" t="6350" r="1016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4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65pt;margin-top:10.15pt;height:29.45pt;width:84.2pt;z-index:251678720;v-text-anchor:middle;mso-width-relative:page;mso-height-relative:page;" filled="f" stroked="t" coordsize="21600,21600" o:gfxdata="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kg1YtsAAAAJAQAADwAAAAAAAAABACAAAAAiAAAAZHJzL2Rvd25yZXYueG1sUEsBAhQAFAAA&#10;AAgAh07iQKcXlKReAgAAngQAAA4AAAAAAAAAAQAgAAAAKgEAAGRycy9lMm9Eb2MueG1sUEsFBgAA&#10;AAAGAAYAWQEAAPo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异常检测机制</w:t>
      </w:r>
    </w:p>
    <w:p>
      <w:pPr>
        <w:tabs>
          <w:tab w:val="left" w:pos="3582"/>
        </w:tabs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异常检测</w:t>
      </w:r>
    </w:p>
    <w:p/>
    <w:p/>
    <w:p>
      <w:pPr>
        <w:outlineLvl w:val="1"/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检测流程：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（1）OpenFlow交换机向中央控制器提交信息，通知中央控制器当前的流状态，同时向控制器发送请求最新的流表转发规则。 </w:t>
      </w:r>
    </w:p>
    <w:p>
      <w:pPr>
        <w:rPr>
          <w:rFonts w:hint="eastAsia"/>
          <w:highlight w:val="none"/>
          <w:u w:val="none"/>
          <w:lang w:val="en-US" w:eastAsia="zh-CN"/>
        </w:rPr>
      </w:pPr>
      <w:r>
        <w:rPr>
          <w:rFonts w:hint="eastAsia"/>
          <w:highlight w:val="none"/>
          <w:u w:val="none"/>
          <w:lang w:val="en-US" w:eastAsia="zh-CN"/>
        </w:rPr>
        <w:t>（2）中央控制器从交换机发送的流量表信息中提取流量特征，由特征提取模块进行汇总，形成多维的流量特征向量，并将其发送到异常检测机制。</w:t>
      </w:r>
    </w:p>
    <w:p>
      <w:pPr>
        <w:rPr>
          <w:rFonts w:hint="eastAsia"/>
          <w:highlight w:val="none"/>
          <w:u w:val="none"/>
          <w:lang w:val="en-US" w:eastAsia="zh-CN"/>
        </w:rPr>
      </w:pPr>
      <w:r>
        <w:rPr>
          <w:rFonts w:hint="eastAsia"/>
          <w:highlight w:val="none"/>
          <w:u w:val="none"/>
          <w:lang w:val="en-US" w:eastAsia="zh-CN"/>
        </w:rPr>
        <w:t xml:space="preserve">（3）异常检测机制对接收到的流量特征向量进行预处理（标准化、规范化），采用DPTCM-KNN算法计算出检测点的奇异性和独立性，完成异常检测。 </w:t>
      </w:r>
    </w:p>
    <w:p>
      <w:pPr>
        <w:rPr>
          <w:rFonts w:hint="eastAsia"/>
          <w:highlight w:val="none"/>
          <w:u w:val="none"/>
          <w:lang w:val="en-US" w:eastAsia="zh-CN"/>
        </w:rPr>
      </w:pPr>
      <w:r>
        <w:rPr>
          <w:rFonts w:hint="eastAsia"/>
          <w:highlight w:val="none"/>
          <w:u w:val="none"/>
          <w:lang w:val="en-US" w:eastAsia="zh-CN"/>
        </w:rPr>
        <w:t xml:space="preserve">（4）异常检测机制在接收到检测结果后生成异常检测报告，并通过安全通道定期向中央控制器发送报告。中央控制器可以根据网络情况控制与异常检测机制相关的参数。 </w:t>
      </w:r>
    </w:p>
    <w:p>
      <w:pPr>
        <w:rPr>
          <w:rFonts w:hint="eastAsia"/>
          <w:highlight w:val="none"/>
          <w:u w:val="none"/>
          <w:lang w:val="en-US" w:eastAsia="zh-CN"/>
        </w:rPr>
      </w:pPr>
      <w:r>
        <w:rPr>
          <w:rFonts w:hint="eastAsia"/>
          <w:highlight w:val="none"/>
          <w:u w:val="none"/>
          <w:lang w:val="en-US" w:eastAsia="zh-CN"/>
        </w:rPr>
        <w:t>（5）中央控制器根据接收到的报告修改流表转发规则，并将其发送给OpenFlow交换机进行异常处理。</w:t>
      </w:r>
    </w:p>
    <w:p/>
    <w:p>
      <w:pPr>
        <w:outlineLvl w:val="1"/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详细图解：</w:t>
      </w:r>
    </w:p>
    <w:p>
      <w:r>
        <w:drawing>
          <wp:inline distT="0" distB="0" distL="114300" distR="114300">
            <wp:extent cx="5272405" cy="18065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二、算法分析：</w:t>
      </w:r>
    </w:p>
    <w:p>
      <w:pPr>
        <w:outlineLvl w:val="1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1.两点之间的欧几里得距离：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欧几里得距离通常用于测量两点之间的接近度，并表示为</w:t>
      </w:r>
      <w:r>
        <w:rPr>
          <w:rFonts w:hint="eastAsia"/>
          <w:lang w:val="en-US" w:eastAsia="zh-CN"/>
        </w:rPr>
        <w:drawing>
          <wp:inline distT="0" distB="0" distL="114300" distR="114300">
            <wp:extent cx="137795" cy="166370"/>
            <wp:effectExtent l="0" t="0" r="1460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（y类中点i和点j之间的欧几里得距离）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871345" cy="683895"/>
            <wp:effectExtent l="0" t="0" r="14605" b="19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7151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其中，Xi和Xj分别是训练点i和j的提取特征的值集；</w:t>
      </w:r>
      <w:r>
        <w:drawing>
          <wp:inline distT="0" distB="0" distL="114300" distR="114300">
            <wp:extent cx="156210" cy="128905"/>
            <wp:effectExtent l="0" t="0" r="15240" b="44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2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是第i个向量X的第a个属性的值；t是向量第i个向量X的长度。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2.奇异性：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y和-y是正常元素的集合和异常元素的集合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956435" cy="812800"/>
            <wp:effectExtent l="0" t="0" r="5715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35503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这个比值就叫做奇异性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其中k是knn算法中最近邻的个数，</w:t>
      </w:r>
      <w:r>
        <w:drawing>
          <wp:inline distT="0" distB="0" distL="114300" distR="114300">
            <wp:extent cx="226695" cy="182880"/>
            <wp:effectExtent l="0" t="0" r="1905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是i相对于y的奇异性。奇异性描述了一个点对一个类别的归属程度。奇异性越大，点属于类别的可能性就越小。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3.独立性：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独立性是检测点与其k个最近邻点之间欧几里得距离之和，即两者之间的绝对偏差。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666240" cy="608965"/>
            <wp:effectExtent l="0" t="0" r="10160" b="63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r="39747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208915" cy="203200"/>
            <wp:effectExtent l="0" t="0" r="635" b="635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为i相对于y的独立性；k为最近邻数；</w:t>
      </w:r>
      <w:r>
        <w:rPr>
          <w:rFonts w:hint="eastAsia"/>
          <w:lang w:val="en-US" w:eastAsia="zh-CN"/>
        </w:rPr>
        <w:drawing>
          <wp:inline distT="0" distB="0" distL="114300" distR="114300">
            <wp:extent cx="182880" cy="172720"/>
            <wp:effectExtent l="0" t="0" r="7620" b="1778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为i与第j最近点之间的距离。同时，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131445" cy="135890"/>
            <wp:effectExtent l="0" t="0" r="1905" b="1651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表示检测点对某一类别的隶属度。独立性越小，点越可能属于该类别。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4.双P值：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一个检测点对一个类别的隶属度。p值越大，点越可能属于y（法向点）。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94280" cy="445135"/>
            <wp:effectExtent l="0" t="0" r="1270" b="1206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 r="26068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式中，αi为y中i的奇异性，αj为第j个训练点相对于y的奇异性，#为有限集的单元数，即奇异性大于y中i的奇异性的训练点个数，p的计算公式如下：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37765" cy="488315"/>
            <wp:effectExtent l="0" t="0" r="635" b="698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rcRect r="28256" b="12987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p1（αi）和p2（θi）构成双p值，作为dptcm-knn算法的异常检测标准，只</w:t>
      </w:r>
      <w:r>
        <w:rPr>
          <w:rFonts w:hint="eastAsia"/>
          <w:highlight w:val="yellow"/>
          <w:lang w:val="en-US" w:eastAsia="zh-CN"/>
        </w:rPr>
        <w:t xml:space="preserve">有满足这两个要求，检测点才被认为是正常的。 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算法步骤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步骤1（计算训练集样本之间的欧几里得距离）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步骤2（计算训练集样本的奇异性和独立性）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步骤3（计算检测点的奇异性和独立性）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步骤4（获取检测点的双p值）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步骤5（识别异常）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三、性能对比：</w:t>
      </w:r>
    </w:p>
    <w:p>
      <w:pPr>
        <w:numPr>
          <w:ilvl w:val="0"/>
          <w:numId w:val="1"/>
        </w:numPr>
        <w:outlineLvl w:val="1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检测率TPR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896745" cy="495300"/>
            <wp:effectExtent l="0" t="0" r="8255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rcRect t="12987" r="40746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其中TP表示被识别为异常流的异常流的数量，FN表示被识别为正常流的异常流的数量。 </w:t>
      </w:r>
      <w:r>
        <w:rPr>
          <w:rFonts w:hint="default"/>
          <w:lang w:val="en-US" w:eastAsia="zh-CN"/>
        </w:rPr>
        <w:t>换句话说，TPR是正确分类的异常流量与异常流量总数的百分比。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本文选择（K，</w:t>
      </w:r>
      <w:r>
        <w:rPr>
          <w:rFonts w:hint="eastAsia"/>
          <w:lang w:val="en-US" w:eastAsia="zh-CN"/>
        </w:rPr>
        <w:t>τ1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τ2</w:t>
      </w:r>
      <w:r>
        <w:rPr>
          <w:rFonts w:hint="default"/>
          <w:lang w:val="en-US" w:eastAsia="zh-CN"/>
        </w:rPr>
        <w:t>）=（20,0.01,0.05）作为DPTCM-KNN算法的最优参数组合。</w:t>
      </w:r>
    </w:p>
    <w:p>
      <w:pPr>
        <w:numPr>
          <w:ilvl w:val="1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420" cy="174625"/>
            <wp:effectExtent l="0" t="0" r="17780" b="1587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rcRect t="837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当R取0.75时，DPTCM算法达到最高TPR，换句话说，当正常和异常子集      的数量达到4到3时，该算法具有最高的检测率。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在本文中，选择（K，τ1，τ2，R）=（20，0.01，0.05，0.75）作为DPTCM-KNN算法的最佳参数组合。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误报率FPR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537970" cy="583565"/>
            <wp:effectExtent l="0" t="0" r="5080" b="698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rcRect r="41526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其中FP表示被识别为异常流的正常流的数量，FN表示被识别为正常流的正常流的数量。 </w:t>
      </w:r>
      <w:r>
        <w:rPr>
          <w:rFonts w:hint="default"/>
          <w:lang w:val="en-US" w:eastAsia="zh-CN"/>
        </w:rPr>
        <w:t>换句话说，FPR是正确分类的正常流量与正常流量总数的百分比。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精度ACC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63445" cy="462915"/>
            <wp:effectExtent l="0" t="0" r="8255" b="1333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rcRect r="30569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ACC是正确分类的样本数与样本总数的百分比，反映了分类器的辨别能力。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ROC曲线，AUC（曲线下面积）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四、实验结果：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与其他算法相比，DPTCM-KNN算法显著提高了异常流的分类性能，可以看出DPTCM-KNN算法具有较高的检测率、准确性和较低的假阳性率，可以在sdn环境下实现高精度的异常检测。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442744"/>
    <w:multiLevelType w:val="singleLevel"/>
    <w:tmpl w:val="984427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5E5E48"/>
    <w:multiLevelType w:val="multilevel"/>
    <w:tmpl w:val="325E5E4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105BC"/>
    <w:rsid w:val="169C473B"/>
    <w:rsid w:val="6F11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2019-03-13T10:50:00Z</dcterms:created>
  <dc:creator>蘅芜君</dc:creator>
  <cp:lastModifiedBy>蘅芜君</cp:lastModifiedBy>
  <dcterms:modified xsi:type="dcterms:W3CDTF">2019-03-22T06:50:43Z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