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悦购零售业务知识库资料</w:t>
      </w:r>
    </w:p>
    <w:p>
      <w:pPr>
        <w:jc w:val="center"/>
      </w:pPr>
      <w:r>
        <w:rPr>
          <w:i/>
        </w:rPr>
        <w:t>零售 / 电商 / 全渠道 | RAG知识库演示文档</w:t>
      </w:r>
    </w:p>
    <w:p>
      <w:pPr>
        <w:jc w:val="center"/>
      </w:pPr>
      <w:r>
        <w:rPr>
          <w:sz w:val="18"/>
        </w:rPr>
        <w:t>说明：本资料为虚构项目演示数据，仅用于系统开发、RAG/Agent测试和面试展示。</w:t>
      </w:r>
    </w:p>
    <w:p>
      <w:pPr>
        <w:pStyle w:val="Heading1"/>
      </w:pPr>
      <w:r>
        <w:t>1. 企业概况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r>
              <w:t>企业名称</w:t>
            </w:r>
          </w:p>
        </w:tc>
        <w:tc>
          <w:tcPr>
            <w:tcW w:type="dxa" w:w="4986"/>
            <w:vAlign w:val="center"/>
          </w:tcPr>
          <w:p>
            <w:r>
              <w:t>悦购零售</w:t>
            </w:r>
          </w:p>
        </w:tc>
      </w:tr>
      <w:tr>
        <w:tc>
          <w:tcPr>
            <w:tcW w:type="dxa" w:w="4986"/>
            <w:vAlign w:val="center"/>
          </w:tcPr>
          <w:p>
            <w:r>
              <w:t>所属行业</w:t>
            </w:r>
          </w:p>
        </w:tc>
        <w:tc>
          <w:tcPr>
            <w:tcW w:type="dxa" w:w="4986"/>
            <w:vAlign w:val="center"/>
          </w:tcPr>
          <w:p>
            <w:r>
              <w:t>零售 / 电商 / 全渠道</w:t>
            </w:r>
          </w:p>
        </w:tc>
      </w:tr>
      <w:tr>
        <w:tc>
          <w:tcPr>
            <w:tcW w:type="dxa" w:w="4986"/>
            <w:vAlign w:val="center"/>
          </w:tcPr>
          <w:p>
            <w:r>
              <w:t>经营模式</w:t>
            </w:r>
          </w:p>
        </w:tc>
        <w:tc>
          <w:tcPr>
            <w:tcW w:type="dxa" w:w="4986"/>
            <w:vAlign w:val="center"/>
          </w:tcPr>
          <w:p>
            <w:r>
              <w:t>运营线上商城与区域门店，主营家居、个护和生活用品，收入来源包括商品销售、会员与平台服务。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主要客户</w:t>
            </w:r>
          </w:p>
        </w:tc>
        <w:tc>
          <w:tcPr>
            <w:tcW w:type="dxa" w:w="4986"/>
            <w:vAlign w:val="center"/>
          </w:tcPr>
          <w:p>
            <w:r>
              <w:t>中型企业、区域连锁客户、重点行业客户</w:t>
            </w:r>
          </w:p>
        </w:tc>
      </w:tr>
      <w:tr>
        <w:tc>
          <w:tcPr>
            <w:tcW w:type="dxa" w:w="4986"/>
            <w:vAlign w:val="center"/>
          </w:tcPr>
          <w:p>
            <w:r>
              <w:t>收入结构</w:t>
            </w:r>
          </w:p>
        </w:tc>
        <w:tc>
          <w:tcPr>
            <w:tcW w:type="dxa" w:w="4986"/>
            <w:vAlign w:val="center"/>
          </w:tcPr>
          <w:p>
            <w:r>
              <w:t>核心产品收入 + 增值服务 + 续费/维保/会员类收入</w:t>
            </w:r>
          </w:p>
        </w:tc>
      </w:tr>
      <w:tr>
        <w:tc>
          <w:tcPr>
            <w:tcW w:type="dxa" w:w="4986"/>
            <w:vAlign w:val="center"/>
          </w:tcPr>
          <w:p>
            <w:r>
              <w:t>分析重点</w:t>
            </w:r>
          </w:p>
        </w:tc>
        <w:tc>
          <w:tcPr>
            <w:tcW w:type="dxa" w:w="4986"/>
            <w:vAlign w:val="center"/>
          </w:tcPr>
          <w:p>
            <w:r>
              <w:t>收入、客户留存、交付/履约、服务质量、产品竞争力</w:t>
            </w:r>
          </w:p>
        </w:tc>
      </w:tr>
    </w:tbl>
    <w:p>
      <w:pPr>
        <w:pStyle w:val="Heading1"/>
      </w:pPr>
      <w:r>
        <w:t>2. 产品与服务目录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EAF7"/>
          </w:tcPr>
          <w:p>
            <w:r>
              <w:t>产品/服务</w:t>
            </w:r>
          </w:p>
        </w:tc>
        <w:tc>
          <w:tcPr>
            <w:tcW w:type="dxa" w:w="1994"/>
            <w:shd w:fill="D9EAF7"/>
          </w:tcPr>
          <w:p>
            <w:r>
              <w:t>参考价格</w:t>
            </w:r>
          </w:p>
        </w:tc>
        <w:tc>
          <w:tcPr>
            <w:tcW w:type="dxa" w:w="1994"/>
            <w:shd w:fill="D9EAF7"/>
          </w:tcPr>
          <w:p>
            <w:r>
              <w:t>计费单位</w:t>
            </w:r>
          </w:p>
        </w:tc>
        <w:tc>
          <w:tcPr>
            <w:tcW w:type="dxa" w:w="1994"/>
            <w:shd w:fill="D9EAF7"/>
          </w:tcPr>
          <w:p>
            <w:r>
              <w:t>主要能力</w:t>
            </w:r>
          </w:p>
        </w:tc>
        <w:tc>
          <w:tcPr>
            <w:tcW w:type="dxa" w:w="1994"/>
            <w:shd w:fill="D9EAF7"/>
          </w:tcPr>
          <w:p>
            <w:r>
              <w:t>重点风险</w:t>
            </w:r>
          </w:p>
        </w:tc>
      </w:tr>
      <w:tr>
        <w:tc>
          <w:tcPr>
            <w:tcW w:type="dxa" w:w="1994"/>
          </w:tcPr>
          <w:p>
            <w:r>
              <w:t>悦享会员年卡</w:t>
            </w:r>
          </w:p>
        </w:tc>
        <w:tc>
          <w:tcPr>
            <w:tcW w:type="dxa" w:w="1994"/>
          </w:tcPr>
          <w:p>
            <w:r>
              <w:t>199</w:t>
            </w:r>
          </w:p>
        </w:tc>
        <w:tc>
          <w:tcPr>
            <w:tcW w:type="dxa" w:w="1994"/>
          </w:tcPr>
          <w:p>
            <w:r>
              <w:t>元/年</w:t>
            </w:r>
          </w:p>
        </w:tc>
        <w:tc>
          <w:tcPr>
            <w:tcW w:type="dxa" w:w="1994"/>
          </w:tcPr>
          <w:p>
            <w:r>
              <w:t>会员折扣、包邮、专享券</w:t>
            </w:r>
          </w:p>
        </w:tc>
        <w:tc>
          <w:tcPr>
            <w:tcW w:type="dxa" w:w="1994"/>
          </w:tcPr>
          <w:p>
            <w:r>
              <w:t>毛利下降</w:t>
            </w:r>
          </w:p>
        </w:tc>
      </w:tr>
      <w:tr>
        <w:tc>
          <w:tcPr>
            <w:tcW w:type="dxa" w:w="1994"/>
          </w:tcPr>
          <w:p>
            <w:r>
              <w:t>家居精选系列</w:t>
            </w:r>
          </w:p>
        </w:tc>
        <w:tc>
          <w:tcPr>
            <w:tcW w:type="dxa" w:w="1994"/>
          </w:tcPr>
          <w:p>
            <w:r>
              <w:t>299</w:t>
            </w:r>
          </w:p>
        </w:tc>
        <w:tc>
          <w:tcPr>
            <w:tcW w:type="dxa" w:w="1994"/>
          </w:tcPr>
          <w:p>
            <w:r>
              <w:t>元/件均价</w:t>
            </w:r>
          </w:p>
        </w:tc>
        <w:tc>
          <w:tcPr>
            <w:tcW w:type="dxa" w:w="1994"/>
          </w:tcPr>
          <w:p>
            <w:r>
              <w:t>中端家居日用品</w:t>
            </w:r>
          </w:p>
        </w:tc>
        <w:tc>
          <w:tcPr>
            <w:tcW w:type="dxa" w:w="1994"/>
          </w:tcPr>
          <w:p>
            <w:r>
              <w:t>退货率上升</w:t>
            </w:r>
          </w:p>
        </w:tc>
      </w:tr>
      <w:tr>
        <w:tc>
          <w:tcPr>
            <w:tcW w:type="dxa" w:w="1994"/>
          </w:tcPr>
          <w:p>
            <w:r>
              <w:t>个护焕新系列</w:t>
            </w:r>
          </w:p>
        </w:tc>
        <w:tc>
          <w:tcPr>
            <w:tcW w:type="dxa" w:w="1994"/>
          </w:tcPr>
          <w:p>
            <w:r>
              <w:t>159</w:t>
            </w:r>
          </w:p>
        </w:tc>
        <w:tc>
          <w:tcPr>
            <w:tcW w:type="dxa" w:w="1994"/>
          </w:tcPr>
          <w:p>
            <w:r>
              <w:t>元/件均价</w:t>
            </w:r>
          </w:p>
        </w:tc>
        <w:tc>
          <w:tcPr>
            <w:tcW w:type="dxa" w:w="1994"/>
          </w:tcPr>
          <w:p>
            <w:r>
              <w:t>个人护理与美妆</w:t>
            </w:r>
          </w:p>
        </w:tc>
        <w:tc>
          <w:tcPr>
            <w:tcW w:type="dxa" w:w="1994"/>
          </w:tcPr>
          <w:p>
            <w:r>
              <w:t>履约延迟</w:t>
            </w:r>
          </w:p>
        </w:tc>
      </w:tr>
      <w:tr>
        <w:tc>
          <w:tcPr>
            <w:tcW w:type="dxa" w:w="1994"/>
          </w:tcPr>
          <w:p>
            <w:r>
              <w:t>极速达配送</w:t>
            </w:r>
          </w:p>
        </w:tc>
        <w:tc>
          <w:tcPr>
            <w:tcW w:type="dxa" w:w="1994"/>
          </w:tcPr>
          <w:p>
            <w:r>
              <w:t>12</w:t>
            </w:r>
          </w:p>
        </w:tc>
        <w:tc>
          <w:tcPr>
            <w:tcW w:type="dxa" w:w="1994"/>
          </w:tcPr>
          <w:p>
            <w:r>
              <w:t>元/单</w:t>
            </w:r>
          </w:p>
        </w:tc>
        <w:tc>
          <w:tcPr>
            <w:tcW w:type="dxa" w:w="1994"/>
          </w:tcPr>
          <w:p>
            <w:r>
              <w:t>核心城区2小时配送</w:t>
            </w:r>
          </w:p>
        </w:tc>
        <w:tc>
          <w:tcPr>
            <w:tcW w:type="dxa" w:w="1994"/>
          </w:tcPr>
          <w:p>
            <w:r>
              <w:t>促销ROI下降</w:t>
            </w:r>
          </w:p>
        </w:tc>
      </w:tr>
    </w:tbl>
    <w:p>
      <w:pPr>
        <w:pStyle w:val="Heading1"/>
      </w:pPr>
      <w:r>
        <w:t>3. 客户生命周期与经营流程</w:t>
      </w:r>
    </w:p>
    <w:p>
      <w:pPr>
        <w:pStyle w:val="ListBullet"/>
      </w:pPr>
      <w:r>
        <w:t>市场获客：线索进入后进行行业、规模、预算、需求紧迫度分级。</w:t>
      </w:r>
    </w:p>
    <w:p>
      <w:pPr>
        <w:pStyle w:val="ListBullet"/>
      </w:pPr>
      <w:r>
        <w:t>商机评估：销售确认需求、竞争格局、价格敏感度与决策链。</w:t>
      </w:r>
    </w:p>
    <w:p>
      <w:pPr>
        <w:pStyle w:val="ListBullet"/>
      </w:pPr>
      <w:r>
        <w:t>签约与交付：合同确认后进入实施/装维/发货/上线环节，并记录计划时间与实际时间。</w:t>
      </w:r>
    </w:p>
    <w:p>
      <w:pPr>
        <w:pStyle w:val="ListBullet"/>
      </w:pPr>
      <w:r>
        <w:t>使用与服务：监控活跃度、故障/投诉、SLA、复购/续费信号。</w:t>
      </w:r>
    </w:p>
    <w:p>
      <w:pPr>
        <w:pStyle w:val="ListBullet"/>
      </w:pPr>
      <w:r>
        <w:t>续费/复购：提前60~90天启动续费或复购预测，识别高风险客户。</w:t>
      </w:r>
    </w:p>
    <w:p>
      <w:pPr>
        <w:pStyle w:val="ListBullet"/>
      </w:pPr>
      <w:r>
        <w:t>流失复盘：记录流失原因、竞品去向、价格因素、服务因素及是否可挽回。</w:t>
      </w:r>
    </w:p>
    <w:p>
      <w:pPr>
        <w:pStyle w:val="Heading1"/>
      </w:pPr>
      <w:r>
        <w:t>4. 核心经营指标口径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2F0D9"/>
          </w:tcPr>
          <w:p>
            <w:r>
              <w:t>指标</w:t>
            </w:r>
          </w:p>
        </w:tc>
        <w:tc>
          <w:tcPr>
            <w:tcW w:type="dxa" w:w="3324"/>
            <w:shd w:fill="E2F0D9"/>
          </w:tcPr>
          <w:p>
            <w:r>
              <w:t>口径</w:t>
            </w:r>
          </w:p>
        </w:tc>
        <w:tc>
          <w:tcPr>
            <w:tcW w:type="dxa" w:w="3324"/>
            <w:shd w:fill="E2F0D9"/>
          </w:tcPr>
          <w:p>
            <w:r>
              <w:t>解释</w:t>
            </w:r>
          </w:p>
        </w:tc>
      </w:tr>
      <w:tr>
        <w:tc>
          <w:tcPr>
            <w:tcW w:type="dxa" w:w="3324"/>
          </w:tcPr>
          <w:p>
            <w:r>
              <w:t>收入增长率</w:t>
            </w:r>
          </w:p>
        </w:tc>
        <w:tc>
          <w:tcPr>
            <w:tcW w:type="dxa" w:w="3324"/>
          </w:tcPr>
          <w:p>
            <w:r>
              <w:t>(本期收入-上期收入)/上期收入</w:t>
            </w:r>
          </w:p>
        </w:tc>
        <w:tc>
          <w:tcPr>
            <w:tcW w:type="dxa" w:w="3324"/>
          </w:tcPr>
          <w:p>
            <w:r>
              <w:t>观察增长趋势与预算偏差</w:t>
            </w:r>
          </w:p>
        </w:tc>
      </w:tr>
      <w:tr>
        <w:tc>
          <w:tcPr>
            <w:tcW w:type="dxa" w:w="3324"/>
          </w:tcPr>
          <w:p>
            <w:r>
              <w:t>客户流失率</w:t>
            </w:r>
          </w:p>
        </w:tc>
        <w:tc>
          <w:tcPr>
            <w:tcW w:type="dxa" w:w="3324"/>
          </w:tcPr>
          <w:p>
            <w:r>
              <w:t>流失客户数/期初有效客户数</w:t>
            </w:r>
          </w:p>
        </w:tc>
        <w:tc>
          <w:tcPr>
            <w:tcW w:type="dxa" w:w="3324"/>
          </w:tcPr>
          <w:p>
            <w:r>
              <w:t>判断客户稳定性</w:t>
            </w:r>
          </w:p>
        </w:tc>
      </w:tr>
      <w:tr>
        <w:tc>
          <w:tcPr>
            <w:tcW w:type="dxa" w:w="3324"/>
          </w:tcPr>
          <w:p>
            <w:r>
              <w:t>投诉率</w:t>
            </w:r>
          </w:p>
        </w:tc>
        <w:tc>
          <w:tcPr>
            <w:tcW w:type="dxa" w:w="3324"/>
          </w:tcPr>
          <w:p>
            <w:r>
              <w:t>投诉客户数/活跃客户数</w:t>
            </w:r>
          </w:p>
        </w:tc>
        <w:tc>
          <w:tcPr>
            <w:tcW w:type="dxa" w:w="3324"/>
          </w:tcPr>
          <w:p>
            <w:r>
              <w:t>衡量服务与产品体验</w:t>
            </w:r>
          </w:p>
        </w:tc>
      </w:tr>
      <w:tr>
        <w:tc>
          <w:tcPr>
            <w:tcW w:type="dxa" w:w="3324"/>
          </w:tcPr>
          <w:p>
            <w:r>
              <w:t>续费/复购率</w:t>
            </w:r>
          </w:p>
        </w:tc>
        <w:tc>
          <w:tcPr>
            <w:tcW w:type="dxa" w:w="3324"/>
          </w:tcPr>
          <w:p>
            <w:r>
              <w:t>完成续费或复购客户/到期客户</w:t>
            </w:r>
          </w:p>
        </w:tc>
        <w:tc>
          <w:tcPr>
            <w:tcW w:type="dxa" w:w="3324"/>
          </w:tcPr>
          <w:p>
            <w:r>
              <w:t>衡量客户价值持续性</w:t>
            </w:r>
          </w:p>
        </w:tc>
      </w:tr>
      <w:tr>
        <w:tc>
          <w:tcPr>
            <w:tcW w:type="dxa" w:w="3324"/>
          </w:tcPr>
          <w:p>
            <w:r>
              <w:t>交付及时率</w:t>
            </w:r>
          </w:p>
        </w:tc>
        <w:tc>
          <w:tcPr>
            <w:tcW w:type="dxa" w:w="3324"/>
          </w:tcPr>
          <w:p>
            <w:r>
              <w:t>按期交付订单/应交付订单</w:t>
            </w:r>
          </w:p>
        </w:tc>
        <w:tc>
          <w:tcPr>
            <w:tcW w:type="dxa" w:w="3324"/>
          </w:tcPr>
          <w:p>
            <w:r>
              <w:t>衡量履约能力</w:t>
            </w:r>
          </w:p>
        </w:tc>
      </w:tr>
      <w:tr>
        <w:tc>
          <w:tcPr>
            <w:tcW w:type="dxa" w:w="3324"/>
          </w:tcPr>
          <w:p>
            <w:r>
              <w:t>高风险客户占比</w:t>
            </w:r>
          </w:p>
        </w:tc>
        <w:tc>
          <w:tcPr>
            <w:tcW w:type="dxa" w:w="3324"/>
          </w:tcPr>
          <w:p>
            <w:r>
              <w:t>高风险客户/有效客户</w:t>
            </w:r>
          </w:p>
        </w:tc>
        <w:tc>
          <w:tcPr>
            <w:tcW w:type="dxa" w:w="3324"/>
          </w:tcPr>
          <w:p>
            <w:r>
              <w:t>衡量未来经营压力</w:t>
            </w:r>
          </w:p>
        </w:tc>
      </w:tr>
    </w:tbl>
    <w:p>
      <w:pPr>
        <w:pStyle w:val="Heading1"/>
      </w:pPr>
      <w:r>
        <w:t>5. 价格、优惠与例外政策</w:t>
      </w:r>
    </w:p>
    <w:p>
      <w:pPr>
        <w:pStyle w:val="ListBullet"/>
      </w:pPr>
      <w:r>
        <w:t>标准报价仅作为系统参考价，重点客户可申请阶梯折扣，但折扣需记录审批人、折扣原因和有效期。</w:t>
      </w:r>
    </w:p>
    <w:p>
      <w:pPr>
        <w:pStyle w:val="ListBullet"/>
      </w:pPr>
      <w:r>
        <w:t>新客户优惠与老客户续费优惠需分开管理，避免续费客户发现新客价差后产生投诉。</w:t>
      </w:r>
    </w:p>
    <w:p>
      <w:pPr>
        <w:pStyle w:val="ListBullet"/>
      </w:pPr>
      <w:r>
        <w:t>重大服务中断、履约延期或质量问题可触发补偿政策，补偿金额应与风险事件关联。</w:t>
      </w:r>
    </w:p>
    <w:p>
      <w:pPr>
        <w:pStyle w:val="ListBullet"/>
      </w:pPr>
      <w:r>
        <w:t>价格调整后应关注7天、30天内的咨询量、投诉量、流失率、成交率变化。</w:t>
      </w:r>
    </w:p>
    <w:p>
      <w:pPr>
        <w:pStyle w:val="ListBullet"/>
      </w:pPr>
      <w:r>
        <w:t>竞品促销强度连续两周高于我方时，系统应提示价格竞争风险，但不能仅凭价格直接判定客户一定流失。</w:t>
      </w:r>
    </w:p>
    <w:p>
      <w:pPr>
        <w:pStyle w:val="Heading1"/>
      </w:pPr>
      <w:r>
        <w:t>6. SLA与服务标准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CE4D6"/>
          </w:tcPr>
          <w:p>
            <w:r>
              <w:t>场景</w:t>
            </w:r>
          </w:p>
        </w:tc>
        <w:tc>
          <w:tcPr>
            <w:tcW w:type="dxa" w:w="3324"/>
            <w:shd w:fill="FCE4D6"/>
          </w:tcPr>
          <w:p>
            <w:r>
              <w:t>服务标准</w:t>
            </w:r>
          </w:p>
        </w:tc>
        <w:tc>
          <w:tcPr>
            <w:tcW w:type="dxa" w:w="3324"/>
            <w:shd w:fill="FCE4D6"/>
          </w:tcPr>
          <w:p>
            <w:r>
              <w:t>管理要求</w:t>
            </w:r>
          </w:p>
        </w:tc>
      </w:tr>
      <w:tr>
        <w:tc>
          <w:tcPr>
            <w:tcW w:type="dxa" w:w="3324"/>
          </w:tcPr>
          <w:p>
            <w:r>
              <w:t>P1/重大故障</w:t>
            </w:r>
          </w:p>
        </w:tc>
        <w:tc>
          <w:tcPr>
            <w:tcW w:type="dxa" w:w="3324"/>
          </w:tcPr>
          <w:p>
            <w:r>
              <w:t>15分钟受理，2小时内提供临时方案</w:t>
            </w:r>
          </w:p>
        </w:tc>
        <w:tc>
          <w:tcPr>
            <w:tcW w:type="dxa" w:w="3324"/>
          </w:tcPr>
          <w:p>
            <w:r>
              <w:t>超时需升级主管</w:t>
            </w:r>
          </w:p>
        </w:tc>
      </w:tr>
      <w:tr>
        <w:tc>
          <w:tcPr>
            <w:tcW w:type="dxa" w:w="3324"/>
          </w:tcPr>
          <w:p>
            <w:r>
              <w:t>P2/核心功能异常</w:t>
            </w:r>
          </w:p>
        </w:tc>
        <w:tc>
          <w:tcPr>
            <w:tcW w:type="dxa" w:w="3324"/>
          </w:tcPr>
          <w:p>
            <w:r>
              <w:t>30分钟受理，4小时内恢复或绕行</w:t>
            </w:r>
          </w:p>
        </w:tc>
        <w:tc>
          <w:tcPr>
            <w:tcW w:type="dxa" w:w="3324"/>
          </w:tcPr>
          <w:p>
            <w:r>
              <w:t>连续发生需生成问题单</w:t>
            </w:r>
          </w:p>
        </w:tc>
      </w:tr>
      <w:tr>
        <w:tc>
          <w:tcPr>
            <w:tcW w:type="dxa" w:w="3324"/>
          </w:tcPr>
          <w:p>
            <w:r>
              <w:t>一般咨询</w:t>
            </w:r>
          </w:p>
        </w:tc>
        <w:tc>
          <w:tcPr>
            <w:tcW w:type="dxa" w:w="3324"/>
          </w:tcPr>
          <w:p>
            <w:r>
              <w:t>4小时内首次响应</w:t>
            </w:r>
          </w:p>
        </w:tc>
        <w:tc>
          <w:tcPr>
            <w:tcW w:type="dxa" w:w="3324"/>
          </w:tcPr>
          <w:p>
            <w:r>
              <w:t>次日未解决需提醒</w:t>
            </w:r>
          </w:p>
        </w:tc>
      </w:tr>
      <w:tr>
        <w:tc>
          <w:tcPr>
            <w:tcW w:type="dxa" w:w="3324"/>
          </w:tcPr>
          <w:p>
            <w:r>
              <w:t>投诉升级</w:t>
            </w:r>
          </w:p>
        </w:tc>
        <w:tc>
          <w:tcPr>
            <w:tcW w:type="dxa" w:w="3324"/>
          </w:tcPr>
          <w:p>
            <w:r>
              <w:t>2小时内回访</w:t>
            </w:r>
          </w:p>
        </w:tc>
        <w:tc>
          <w:tcPr>
            <w:tcW w:type="dxa" w:w="3324"/>
          </w:tcPr>
          <w:p>
            <w:r>
              <w:t>24小时内给出处理结论</w:t>
            </w:r>
          </w:p>
        </w:tc>
      </w:tr>
    </w:tbl>
    <w:p>
      <w:pPr>
        <w:pStyle w:val="Heading1"/>
      </w:pPr>
      <w:r>
        <w:t>7. 典型风险触发信号</w:t>
      </w:r>
    </w:p>
    <w:p>
      <w:pPr>
        <w:pStyle w:val="ListBullet"/>
      </w:pPr>
      <w:r>
        <w:t>毛利下降：连续2个周期恶化，且高价值客户受影响时升级为高风险。</w:t>
      </w:r>
    </w:p>
    <w:p>
      <w:pPr>
        <w:pStyle w:val="ListBullet"/>
      </w:pPr>
      <w:r>
        <w:t>退货率上升：同类问题30天内重复出现3次以上，需要结合投诉与运维记录分析。</w:t>
      </w:r>
    </w:p>
    <w:p>
      <w:pPr>
        <w:pStyle w:val="ListBullet"/>
      </w:pPr>
      <w:r>
        <w:t>履约延迟：计划与实际差异超过20%，同时客户满意度下降时触发履约风险。</w:t>
      </w:r>
    </w:p>
    <w:p>
      <w:pPr>
        <w:pStyle w:val="ListBullet"/>
      </w:pPr>
      <w:r>
        <w:t>促销ROI下降：平均首次响应时间超过SLA 1.5倍，且投诉升级率上升时提示服务风险。</w:t>
      </w:r>
    </w:p>
    <w:p>
      <w:pPr>
        <w:pStyle w:val="ListBullet"/>
      </w:pPr>
      <w:r>
        <w:t>会员流失：竞品价格/促销变化与我方转化率下降同时出现时，标记竞争风险。</w:t>
      </w:r>
    </w:p>
    <w:p>
      <w:pPr>
        <w:pStyle w:val="Heading1"/>
      </w:pPr>
      <w:r>
        <w:t>8. 常见问题与专家经验</w:t>
      </w:r>
    </w:p>
    <w:p>
      <w:r>
        <w:rPr>
          <w:b/>
        </w:rPr>
        <w:t>Q：收入下降就一定是价格问题吗？</w:t>
      </w:r>
    </w:p>
    <w:p>
      <w:r>
        <w:t>A：不是。应同时核查客户结构、交付进度、投诉、季节性、竞品促销和一次性大单波动。</w:t>
      </w:r>
    </w:p>
    <w:p>
      <w:r>
        <w:rPr>
          <w:b/>
        </w:rPr>
        <w:t>Q：投诉增加时应该先看什么？</w:t>
      </w:r>
    </w:p>
    <w:p>
      <w:r>
        <w:t>A：先看投诉类别集中度、是否指向同一产品/区域/服务团队，再看严重度和重复投诉。</w:t>
      </w:r>
    </w:p>
    <w:p>
      <w:r>
        <w:rPr>
          <w:b/>
        </w:rPr>
        <w:t>Q：Agent给出建议时需要什么证据？</w:t>
      </w:r>
    </w:p>
    <w:p>
      <w:r>
        <w:t>A：至少应引用经营指标、风险规则、投诉/工单、业务政策或竞品数据中的两类以上证据。</w:t>
      </w:r>
    </w:p>
    <w:p>
      <w:r>
        <w:rPr>
          <w:b/>
        </w:rPr>
        <w:t>Q：什么时候需要人工确认？</w:t>
      </w:r>
    </w:p>
    <w:p>
      <w:r>
        <w:t>A：涉及价格调整、客户补偿、合同变更、重大停服/停产或高金额决策时必须人工确认。</w:t>
      </w:r>
    </w:p>
    <w:p>
      <w:pPr>
        <w:pStyle w:val="Heading1"/>
      </w:pPr>
      <w:r>
        <w:t>9. 可供RAG切分的关键词</w:t>
      </w:r>
    </w:p>
    <w:p>
      <w:r>
        <w:t>产品价格、续费政策、投诉升级、SLA、高风险客户、交付延期、竞品促销、客户流失、经营指标、异常原因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