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悦购零售历史经营分析报告</w:t>
      </w:r>
    </w:p>
    <w:p>
      <w:pPr>
        <w:jc w:val="center"/>
      </w:pPr>
      <w:r>
        <w:rPr>
          <w:i/>
        </w:rPr>
        <w:t>2026年618后毛利率、退货率与会员留存联合复盘</w:t>
      </w:r>
    </w:p>
    <w:p>
      <w:pPr>
        <w:jc w:val="center"/>
      </w:pPr>
      <w:r>
        <w:rPr>
          <w:sz w:val="18"/>
        </w:rPr>
        <w:t>说明：本资料为虚构项目演示数据，仅用于系统开发、RAG/Agent测试和面试展示。</w:t>
      </w:r>
    </w:p>
    <w:p>
      <w:pPr>
        <w:pStyle w:val="Heading1"/>
      </w:pPr>
      <w:r>
        <w:t>1. 分析范围与结论摘要</w:t>
      </w:r>
    </w:p>
    <w:p>
      <w:r>
        <w:t>618期间GMV增长但毛利率下降，退货率、物流投诉和会员流失同步上升。促销结束后需从‘规模增长’转向‘利润与留存’平衡。</w:t>
      </w:r>
    </w:p>
    <w:p>
      <w:pPr>
        <w:pStyle w:val="Heading1"/>
      </w:pPr>
      <w:r>
        <w:t>2. 关键指标趋势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fill="D9EAF7"/>
          </w:tcPr>
          <w:p>
            <w:r>
              <w:t>月份</w:t>
            </w:r>
          </w:p>
        </w:tc>
        <w:tc>
          <w:tcPr>
            <w:tcW w:type="dxa" w:w="1662"/>
            <w:shd w:fill="D9EAF7"/>
          </w:tcPr>
          <w:p>
            <w:r>
              <w:t>收入/GMV指数</w:t>
            </w:r>
          </w:p>
        </w:tc>
        <w:tc>
          <w:tcPr>
            <w:tcW w:type="dxa" w:w="1662"/>
            <w:shd w:fill="D9EAF7"/>
          </w:tcPr>
          <w:p>
            <w:r>
              <w:t>客户留存率</w:t>
            </w:r>
          </w:p>
        </w:tc>
        <w:tc>
          <w:tcPr>
            <w:tcW w:type="dxa" w:w="1662"/>
            <w:shd w:fill="D9EAF7"/>
          </w:tcPr>
          <w:p>
            <w:r>
              <w:t>投诉/异常指数</w:t>
            </w:r>
          </w:p>
        </w:tc>
        <w:tc>
          <w:tcPr>
            <w:tcW w:type="dxa" w:w="1662"/>
            <w:shd w:fill="D9EAF7"/>
          </w:tcPr>
          <w:p>
            <w:r>
              <w:t>交付/履约指数</w:t>
            </w:r>
          </w:p>
        </w:tc>
        <w:tc>
          <w:tcPr>
            <w:tcW w:type="dxa" w:w="1662"/>
            <w:shd w:fill="D9EAF7"/>
          </w:tcPr>
          <w:p>
            <w:r>
              <w:t>风险等级</w:t>
            </w:r>
          </w:p>
        </w:tc>
      </w:tr>
      <w:tr>
        <w:tc>
          <w:tcPr>
            <w:tcW w:type="dxa" w:w="1662"/>
          </w:tcPr>
          <w:p>
            <w:r>
              <w:t>2026-01</w:t>
            </w:r>
          </w:p>
        </w:tc>
        <w:tc>
          <w:tcPr>
            <w:tcW w:type="dxa" w:w="1662"/>
          </w:tcPr>
          <w:p>
            <w:r>
              <w:t>98</w:t>
            </w:r>
          </w:p>
        </w:tc>
        <w:tc>
          <w:tcPr>
            <w:tcW w:type="dxa" w:w="1662"/>
          </w:tcPr>
          <w:p>
            <w:r>
              <w:t>92</w:t>
            </w:r>
          </w:p>
        </w:tc>
        <w:tc>
          <w:tcPr>
            <w:tcW w:type="dxa" w:w="1662"/>
          </w:tcPr>
          <w:p>
            <w:r>
              <w:t>102</w:t>
            </w:r>
          </w:p>
        </w:tc>
        <w:tc>
          <w:tcPr>
            <w:tcW w:type="dxa" w:w="1662"/>
          </w:tcPr>
          <w:p>
            <w:r>
              <w:t>96</w:t>
            </w:r>
          </w:p>
        </w:tc>
        <w:tc>
          <w:tcPr>
            <w:tcW w:type="dxa" w:w="1662"/>
          </w:tcPr>
          <w:p>
            <w:r>
              <w:t>低</w:t>
            </w:r>
          </w:p>
        </w:tc>
      </w:tr>
      <w:tr>
        <w:tc>
          <w:tcPr>
            <w:tcW w:type="dxa" w:w="1662"/>
          </w:tcPr>
          <w:p>
            <w:r>
              <w:t>2026-02</w:t>
            </w:r>
          </w:p>
        </w:tc>
        <w:tc>
          <w:tcPr>
            <w:tcW w:type="dxa" w:w="1662"/>
          </w:tcPr>
          <w:p>
            <w:r>
              <w:t>101</w:t>
            </w:r>
          </w:p>
        </w:tc>
        <w:tc>
          <w:tcPr>
            <w:tcW w:type="dxa" w:w="1662"/>
          </w:tcPr>
          <w:p>
            <w:r>
              <w:t>93</w:t>
            </w:r>
          </w:p>
        </w:tc>
        <w:tc>
          <w:tcPr>
            <w:tcW w:type="dxa" w:w="1662"/>
          </w:tcPr>
          <w:p>
            <w:r>
              <w:t>95</w:t>
            </w:r>
          </w:p>
        </w:tc>
        <w:tc>
          <w:tcPr>
            <w:tcW w:type="dxa" w:w="1662"/>
          </w:tcPr>
          <w:p>
            <w:r>
              <w:t>95</w:t>
            </w:r>
          </w:p>
        </w:tc>
        <w:tc>
          <w:tcPr>
            <w:tcW w:type="dxa" w:w="1662"/>
          </w:tcPr>
          <w:p>
            <w:r>
              <w:t>低</w:t>
            </w:r>
          </w:p>
        </w:tc>
      </w:tr>
      <w:tr>
        <w:tc>
          <w:tcPr>
            <w:tcW w:type="dxa" w:w="1662"/>
          </w:tcPr>
          <w:p>
            <w:r>
              <w:t>2026-03</w:t>
            </w:r>
          </w:p>
        </w:tc>
        <w:tc>
          <w:tcPr>
            <w:tcW w:type="dxa" w:w="1662"/>
          </w:tcPr>
          <w:p>
            <w:r>
              <w:t>105</w:t>
            </w:r>
          </w:p>
        </w:tc>
        <w:tc>
          <w:tcPr>
            <w:tcW w:type="dxa" w:w="1662"/>
          </w:tcPr>
          <w:p>
            <w:r>
              <w:t>91</w:t>
            </w:r>
          </w:p>
        </w:tc>
        <w:tc>
          <w:tcPr>
            <w:tcW w:type="dxa" w:w="1662"/>
          </w:tcPr>
          <w:p>
            <w:r>
              <w:t>118</w:t>
            </w:r>
          </w:p>
        </w:tc>
        <w:tc>
          <w:tcPr>
            <w:tcW w:type="dxa" w:w="1662"/>
          </w:tcPr>
          <w:p>
            <w:r>
              <w:t>96</w:t>
            </w:r>
          </w:p>
        </w:tc>
        <w:tc>
          <w:tcPr>
            <w:tcW w:type="dxa" w:w="1662"/>
          </w:tcPr>
          <w:p>
            <w:r>
              <w:t>中</w:t>
            </w:r>
          </w:p>
        </w:tc>
      </w:tr>
      <w:tr>
        <w:tc>
          <w:tcPr>
            <w:tcW w:type="dxa" w:w="1662"/>
          </w:tcPr>
          <w:p>
            <w:r>
              <w:t>2026-04</w:t>
            </w:r>
          </w:p>
        </w:tc>
        <w:tc>
          <w:tcPr>
            <w:tcW w:type="dxa" w:w="1662"/>
          </w:tcPr>
          <w:p>
            <w:r>
              <w:t>96</w:t>
            </w:r>
          </w:p>
        </w:tc>
        <w:tc>
          <w:tcPr>
            <w:tcW w:type="dxa" w:w="1662"/>
          </w:tcPr>
          <w:p>
            <w:r>
              <w:t>90</w:t>
            </w:r>
          </w:p>
        </w:tc>
        <w:tc>
          <w:tcPr>
            <w:tcW w:type="dxa" w:w="1662"/>
          </w:tcPr>
          <w:p>
            <w:r>
              <w:t>127</w:t>
            </w:r>
          </w:p>
        </w:tc>
        <w:tc>
          <w:tcPr>
            <w:tcW w:type="dxa" w:w="1662"/>
          </w:tcPr>
          <w:p>
            <w:r>
              <w:t>92</w:t>
            </w:r>
          </w:p>
        </w:tc>
        <w:tc>
          <w:tcPr>
            <w:tcW w:type="dxa" w:w="1662"/>
          </w:tcPr>
          <w:p>
            <w:r>
              <w:t>中</w:t>
            </w:r>
          </w:p>
        </w:tc>
      </w:tr>
      <w:tr>
        <w:tc>
          <w:tcPr>
            <w:tcW w:type="dxa" w:w="1662"/>
          </w:tcPr>
          <w:p>
            <w:r>
              <w:t>2026-05</w:t>
            </w:r>
          </w:p>
        </w:tc>
        <w:tc>
          <w:tcPr>
            <w:tcW w:type="dxa" w:w="1662"/>
          </w:tcPr>
          <w:p>
            <w:r>
              <w:t>102</w:t>
            </w:r>
          </w:p>
        </w:tc>
        <w:tc>
          <w:tcPr>
            <w:tcW w:type="dxa" w:w="1662"/>
          </w:tcPr>
          <w:p>
            <w:r>
              <w:t>87</w:t>
            </w:r>
          </w:p>
        </w:tc>
        <w:tc>
          <w:tcPr>
            <w:tcW w:type="dxa" w:w="1662"/>
          </w:tcPr>
          <w:p>
            <w:r>
              <w:t>143</w:t>
            </w:r>
          </w:p>
        </w:tc>
        <w:tc>
          <w:tcPr>
            <w:tcW w:type="dxa" w:w="1662"/>
          </w:tcPr>
          <w:p>
            <w:r>
              <w:t>88</w:t>
            </w:r>
          </w:p>
        </w:tc>
        <w:tc>
          <w:tcPr>
            <w:tcW w:type="dxa" w:w="1662"/>
          </w:tcPr>
          <w:p>
            <w:r>
              <w:t>高</w:t>
            </w:r>
          </w:p>
        </w:tc>
      </w:tr>
      <w:tr>
        <w:tc>
          <w:tcPr>
            <w:tcW w:type="dxa" w:w="1662"/>
          </w:tcPr>
          <w:p>
            <w:r>
              <w:t>2026-06</w:t>
            </w:r>
          </w:p>
        </w:tc>
        <w:tc>
          <w:tcPr>
            <w:tcW w:type="dxa" w:w="1662"/>
          </w:tcPr>
          <w:p>
            <w:r>
              <w:t>103</w:t>
            </w:r>
          </w:p>
        </w:tc>
        <w:tc>
          <w:tcPr>
            <w:tcW w:type="dxa" w:w="1662"/>
          </w:tcPr>
          <w:p>
            <w:r>
              <w:t>87</w:t>
            </w:r>
          </w:p>
        </w:tc>
        <w:tc>
          <w:tcPr>
            <w:tcW w:type="dxa" w:w="1662"/>
          </w:tcPr>
          <w:p>
            <w:r>
              <w:t>163</w:t>
            </w:r>
          </w:p>
        </w:tc>
        <w:tc>
          <w:tcPr>
            <w:tcW w:type="dxa" w:w="1662"/>
          </w:tcPr>
          <w:p>
            <w:r>
              <w:t>84</w:t>
            </w:r>
          </w:p>
        </w:tc>
        <w:tc>
          <w:tcPr>
            <w:tcW w:type="dxa" w:w="1662"/>
          </w:tcPr>
          <w:p>
            <w:r>
              <w:t>高</w:t>
            </w:r>
          </w:p>
        </w:tc>
      </w:tr>
    </w:tbl>
    <w:p>
      <w:pPr>
        <w:pStyle w:val="Heading1"/>
      </w:pPr>
      <w:r>
        <w:t>3. 风险拆解</w:t>
      </w:r>
    </w:p>
    <w:p>
      <w:pPr>
        <w:pStyle w:val="Heading2"/>
      </w:pPr>
      <w:r>
        <w:t>3.1 毛利下降</w:t>
      </w:r>
    </w:p>
    <w:p>
      <w:r>
        <w:t>现象：相关指标在连续周期出现恶化，并在重点客户/重点产品中更集中。证据：经营指标趋势、投诉明细、竞品活动与业务规则存在交叉印证。判断：该问题更可能由多因素叠加造成，不建议仅凭单一指标直接下结论。</w:t>
      </w:r>
    </w:p>
    <w:p>
      <w:pPr>
        <w:pStyle w:val="ListBullet"/>
      </w:pPr>
      <w:r>
        <w:t>数据证据：近30~90天趋势明显偏离基线；</w:t>
      </w:r>
    </w:p>
    <w:p>
      <w:pPr>
        <w:pStyle w:val="ListBullet"/>
      </w:pPr>
      <w:r>
        <w:t>客户证据：高价值客户或高频使用客户受影响更明显；</w:t>
      </w:r>
    </w:p>
    <w:p>
      <w:pPr>
        <w:pStyle w:val="ListBullet"/>
      </w:pPr>
      <w:r>
        <w:t>业务证据：交付、服务、价格或产品能力存在可解释因素；</w:t>
      </w:r>
    </w:p>
    <w:p>
      <w:pPr>
        <w:pStyle w:val="ListBullet"/>
      </w:pPr>
      <w:r>
        <w:t>外部证据：竞品促销、市场活动或行业季节性可能放大波动。</w:t>
      </w:r>
    </w:p>
    <w:p>
      <w:pPr>
        <w:pStyle w:val="Heading2"/>
      </w:pPr>
      <w:r>
        <w:t>3.2 退货率上升</w:t>
      </w:r>
    </w:p>
    <w:p>
      <w:r>
        <w:t>现象：相关指标在连续周期出现恶化，并在重点客户/重点产品中更集中。证据：经营指标趋势、投诉明细、竞品活动与业务规则存在交叉印证。判断：该问题更可能由多因素叠加造成，不建议仅凭单一指标直接下结论。</w:t>
      </w:r>
    </w:p>
    <w:p>
      <w:pPr>
        <w:pStyle w:val="ListBullet"/>
      </w:pPr>
      <w:r>
        <w:t>数据证据：近30~90天趋势明显偏离基线；</w:t>
      </w:r>
    </w:p>
    <w:p>
      <w:pPr>
        <w:pStyle w:val="ListBullet"/>
      </w:pPr>
      <w:r>
        <w:t>客户证据：高价值客户或高频使用客户受影响更明显；</w:t>
      </w:r>
    </w:p>
    <w:p>
      <w:pPr>
        <w:pStyle w:val="ListBullet"/>
      </w:pPr>
      <w:r>
        <w:t>业务证据：交付、服务、价格或产品能力存在可解释因素；</w:t>
      </w:r>
    </w:p>
    <w:p>
      <w:pPr>
        <w:pStyle w:val="ListBullet"/>
      </w:pPr>
      <w:r>
        <w:t>外部证据：竞品促销、市场活动或行业季节性可能放大波动。</w:t>
      </w:r>
    </w:p>
    <w:p>
      <w:pPr>
        <w:pStyle w:val="Heading2"/>
      </w:pPr>
      <w:r>
        <w:t>3.3 履约延迟</w:t>
      </w:r>
    </w:p>
    <w:p>
      <w:r>
        <w:t>现象：相关指标在连续周期出现恶化，并在重点客户/重点产品中更集中。证据：经营指标趋势、投诉明细、竞品活动与业务规则存在交叉印证。判断：该问题更可能由多因素叠加造成，不建议仅凭单一指标直接下结论。</w:t>
      </w:r>
    </w:p>
    <w:p>
      <w:pPr>
        <w:pStyle w:val="ListBullet"/>
      </w:pPr>
      <w:r>
        <w:t>数据证据：近30~90天趋势明显偏离基线；</w:t>
      </w:r>
    </w:p>
    <w:p>
      <w:pPr>
        <w:pStyle w:val="ListBullet"/>
      </w:pPr>
      <w:r>
        <w:t>客户证据：高价值客户或高频使用客户受影响更明显；</w:t>
      </w:r>
    </w:p>
    <w:p>
      <w:pPr>
        <w:pStyle w:val="ListBullet"/>
      </w:pPr>
      <w:r>
        <w:t>业务证据：交付、服务、价格或产品能力存在可解释因素；</w:t>
      </w:r>
    </w:p>
    <w:p>
      <w:pPr>
        <w:pStyle w:val="ListBullet"/>
      </w:pPr>
      <w:r>
        <w:t>外部证据：竞品促销、市场活动或行业季节性可能放大波动。</w:t>
      </w:r>
    </w:p>
    <w:p>
      <w:pPr>
        <w:pStyle w:val="Heading2"/>
      </w:pPr>
      <w:r>
        <w:t>3.4 促销ROI下降</w:t>
      </w:r>
    </w:p>
    <w:p>
      <w:r>
        <w:t>现象：相关指标在连续周期出现恶化，并在重点客户/重点产品中更集中。证据：经营指标趋势、投诉明细、竞品活动与业务规则存在交叉印证。判断：该问题更可能由多因素叠加造成，不建议仅凭单一指标直接下结论。</w:t>
      </w:r>
    </w:p>
    <w:p>
      <w:pPr>
        <w:pStyle w:val="ListBullet"/>
      </w:pPr>
      <w:r>
        <w:t>数据证据：近30~90天趋势明显偏离基线；</w:t>
      </w:r>
    </w:p>
    <w:p>
      <w:pPr>
        <w:pStyle w:val="ListBullet"/>
      </w:pPr>
      <w:r>
        <w:t>客户证据：高价值客户或高频使用客户受影响更明显；</w:t>
      </w:r>
    </w:p>
    <w:p>
      <w:pPr>
        <w:pStyle w:val="ListBullet"/>
      </w:pPr>
      <w:r>
        <w:t>业务证据：交付、服务、价格或产品能力存在可解释因素；</w:t>
      </w:r>
    </w:p>
    <w:p>
      <w:pPr>
        <w:pStyle w:val="ListBullet"/>
      </w:pPr>
      <w:r>
        <w:t>外部证据：竞品促销、市场活动或行业季节性可能放大波动。</w:t>
      </w:r>
    </w:p>
    <w:p>
      <w:pPr>
        <w:pStyle w:val="Heading1"/>
      </w:pPr>
      <w:r>
        <w:t>4. 投诉与客户声音分析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FCE4D6"/>
          </w:tcPr>
          <w:p>
            <w:r>
              <w:t>投诉类别</w:t>
            </w:r>
          </w:p>
        </w:tc>
        <w:tc>
          <w:tcPr>
            <w:tcW w:type="dxa" w:w="3324"/>
            <w:shd w:fill="FCE4D6"/>
          </w:tcPr>
          <w:p>
            <w:r>
              <w:t>样本量</w:t>
            </w:r>
          </w:p>
        </w:tc>
        <w:tc>
          <w:tcPr>
            <w:tcW w:type="dxa" w:w="3324"/>
            <w:shd w:fill="FCE4D6"/>
          </w:tcPr>
          <w:p>
            <w:r>
              <w:t>主要客户声音</w:t>
            </w:r>
          </w:p>
        </w:tc>
      </w:tr>
      <w:tr>
        <w:tc>
          <w:tcPr>
            <w:tcW w:type="dxa" w:w="3324"/>
          </w:tcPr>
          <w:p>
            <w:r>
              <w:t>商品质量</w:t>
            </w:r>
          </w:p>
        </w:tc>
        <w:tc>
          <w:tcPr>
            <w:tcW w:type="dxa" w:w="3324"/>
          </w:tcPr>
          <w:p>
            <w:r>
              <w:t>45</w:t>
            </w:r>
          </w:p>
        </w:tc>
        <w:tc>
          <w:tcPr>
            <w:tcW w:type="dxa" w:w="3324"/>
          </w:tcPr>
          <w:p>
            <w:r>
              <w:t>到货破损或与页面描述不符。</w:t>
            </w:r>
          </w:p>
        </w:tc>
      </w:tr>
      <w:tr>
        <w:tc>
          <w:tcPr>
            <w:tcW w:type="dxa" w:w="3324"/>
          </w:tcPr>
          <w:p>
            <w:r>
              <w:t>会员权益</w:t>
            </w:r>
          </w:p>
        </w:tc>
        <w:tc>
          <w:tcPr>
            <w:tcW w:type="dxa" w:w="3324"/>
          </w:tcPr>
          <w:p>
            <w:r>
              <w:t>43</w:t>
            </w:r>
          </w:p>
        </w:tc>
        <w:tc>
          <w:tcPr>
            <w:tcW w:type="dxa" w:w="3324"/>
          </w:tcPr>
          <w:p>
            <w:r>
              <w:t>客户希望更透明的处理进度与更稳定的服务体验。</w:t>
            </w:r>
          </w:p>
        </w:tc>
      </w:tr>
      <w:tr>
        <w:tc>
          <w:tcPr>
            <w:tcW w:type="dxa" w:w="3324"/>
          </w:tcPr>
          <w:p>
            <w:r>
              <w:t>退款时效</w:t>
            </w:r>
          </w:p>
        </w:tc>
        <w:tc>
          <w:tcPr>
            <w:tcW w:type="dxa" w:w="3324"/>
          </w:tcPr>
          <w:p>
            <w:r>
              <w:t>42</w:t>
            </w:r>
          </w:p>
        </w:tc>
        <w:tc>
          <w:tcPr>
            <w:tcW w:type="dxa" w:w="3324"/>
          </w:tcPr>
          <w:p>
            <w:r>
              <w:t>客户希望更透明的处理进度与更稳定的服务体验。</w:t>
            </w:r>
          </w:p>
        </w:tc>
      </w:tr>
      <w:tr>
        <w:tc>
          <w:tcPr>
            <w:tcW w:type="dxa" w:w="3324"/>
          </w:tcPr>
          <w:p>
            <w:r>
              <w:t>价格争议</w:t>
            </w:r>
          </w:p>
        </w:tc>
        <w:tc>
          <w:tcPr>
            <w:tcW w:type="dxa" w:w="3324"/>
          </w:tcPr>
          <w:p>
            <w:r>
              <w:t>42</w:t>
            </w:r>
          </w:p>
        </w:tc>
        <w:tc>
          <w:tcPr>
            <w:tcW w:type="dxa" w:w="3324"/>
          </w:tcPr>
          <w:p>
            <w:r>
              <w:t>客户希望更透明的处理进度与更稳定的服务体验。</w:t>
            </w:r>
          </w:p>
        </w:tc>
      </w:tr>
      <w:tr>
        <w:tc>
          <w:tcPr>
            <w:tcW w:type="dxa" w:w="3324"/>
          </w:tcPr>
          <w:p>
            <w:r>
              <w:t>客服体验</w:t>
            </w:r>
          </w:p>
        </w:tc>
        <w:tc>
          <w:tcPr>
            <w:tcW w:type="dxa" w:w="3324"/>
          </w:tcPr>
          <w:p>
            <w:r>
              <w:t>40</w:t>
            </w:r>
          </w:p>
        </w:tc>
        <w:tc>
          <w:tcPr>
            <w:tcW w:type="dxa" w:w="3324"/>
          </w:tcPr>
          <w:p>
            <w:r>
              <w:t>客户希望更透明的处理进度与更稳定的服务体验。</w:t>
            </w:r>
          </w:p>
        </w:tc>
      </w:tr>
    </w:tbl>
    <w:p>
      <w:pPr>
        <w:pStyle w:val="Heading1"/>
      </w:pPr>
      <w:r>
        <w:t>5. 竞品与市场变化</w:t>
      </w:r>
    </w:p>
    <w:p>
      <w:pPr>
        <w:pStyle w:val="ListBullet"/>
      </w:pPr>
      <w:r>
        <w:t>优选生活在重点区域推出阶段性价格优惠，部分客户将其作为续费/采购谈判筹码。</w:t>
      </w:r>
    </w:p>
    <w:p>
      <w:pPr>
        <w:pStyle w:val="ListBullet"/>
      </w:pPr>
      <w:r>
        <w:t>家享集市强调服务承诺与交付速度，对我方交付或响应较慢的客户形成吸引。</w:t>
      </w:r>
    </w:p>
    <w:p>
      <w:pPr>
        <w:pStyle w:val="ListBullet"/>
      </w:pPr>
      <w:r>
        <w:t>市场竞争不只体现为价格，还包括合同灵活度、实施周期、售后质量和生态兼容性。</w:t>
      </w:r>
    </w:p>
    <w:p>
      <w:pPr>
        <w:pStyle w:val="ListBullet"/>
      </w:pPr>
      <w:r>
        <w:t>建议Agent在判断竞争风险时同时检索‘价格变动 + 客户流失原因 + 投诉原因’，避免将相关性直接当成因果。</w:t>
      </w:r>
    </w:p>
    <w:p>
      <w:pPr>
        <w:pStyle w:val="Heading1"/>
      </w:pPr>
      <w:r>
        <w:t>6. 已采取措施与效果复盘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E2F0D9"/>
          </w:tcPr>
          <w:p>
            <w:r>
              <w:t>措施</w:t>
            </w:r>
          </w:p>
        </w:tc>
        <w:tc>
          <w:tcPr>
            <w:tcW w:type="dxa" w:w="3324"/>
            <w:shd w:fill="E2F0D9"/>
          </w:tcPr>
          <w:p>
            <w:r>
              <w:t>做法</w:t>
            </w:r>
          </w:p>
        </w:tc>
        <w:tc>
          <w:tcPr>
            <w:tcW w:type="dxa" w:w="3324"/>
            <w:shd w:fill="E2F0D9"/>
          </w:tcPr>
          <w:p>
            <w:r>
              <w:t>观察效果</w:t>
            </w:r>
          </w:p>
        </w:tc>
      </w:tr>
      <w:tr>
        <w:tc>
          <w:tcPr>
            <w:tcW w:type="dxa" w:w="3324"/>
          </w:tcPr>
          <w:p>
            <w:r>
              <w:t>建立重点客户分层预警</w:t>
            </w:r>
          </w:p>
        </w:tc>
        <w:tc>
          <w:tcPr>
            <w:tcW w:type="dxa" w:w="3324"/>
          </w:tcPr>
          <w:p>
            <w:r>
              <w:t>将高价值且多次投诉/活跃下降客户纳入人工回访</w:t>
            </w:r>
          </w:p>
        </w:tc>
        <w:tc>
          <w:tcPr>
            <w:tcW w:type="dxa" w:w="3324"/>
          </w:tcPr>
          <w:p>
            <w:r>
              <w:t>高风险客户处理时效提升</w:t>
            </w:r>
          </w:p>
        </w:tc>
      </w:tr>
      <w:tr>
        <w:tc>
          <w:tcPr>
            <w:tcW w:type="dxa" w:w="3324"/>
          </w:tcPr>
          <w:p>
            <w:r>
              <w:t>专项治理Top问题</w:t>
            </w:r>
          </w:p>
        </w:tc>
        <w:tc>
          <w:tcPr>
            <w:tcW w:type="dxa" w:w="3324"/>
          </w:tcPr>
          <w:p>
            <w:r>
              <w:t>针对重复问题设立问题单与责任人</w:t>
            </w:r>
          </w:p>
        </w:tc>
        <w:tc>
          <w:tcPr>
            <w:tcW w:type="dxa" w:w="3324"/>
          </w:tcPr>
          <w:p>
            <w:r>
              <w:t>重复投诉率下降</w:t>
            </w:r>
          </w:p>
        </w:tc>
      </w:tr>
      <w:tr>
        <w:tc>
          <w:tcPr>
            <w:tcW w:type="dxa" w:w="3324"/>
          </w:tcPr>
          <w:p>
            <w:r>
              <w:t>优化续费/价格策略</w:t>
            </w:r>
          </w:p>
        </w:tc>
        <w:tc>
          <w:tcPr>
            <w:tcW w:type="dxa" w:w="3324"/>
          </w:tcPr>
          <w:p>
            <w:r>
              <w:t>对高风险续费客户增加分层优惠与审批机制</w:t>
            </w:r>
          </w:p>
        </w:tc>
        <w:tc>
          <w:tcPr>
            <w:tcW w:type="dxa" w:w="3324"/>
          </w:tcPr>
          <w:p>
            <w:r>
              <w:t>续费谈判成功率提升</w:t>
            </w:r>
          </w:p>
        </w:tc>
      </w:tr>
      <w:tr>
        <w:tc>
          <w:tcPr>
            <w:tcW w:type="dxa" w:w="3324"/>
          </w:tcPr>
          <w:p>
            <w:r>
              <w:t>交付/履约看板</w:t>
            </w:r>
          </w:p>
        </w:tc>
        <w:tc>
          <w:tcPr>
            <w:tcW w:type="dxa" w:w="3324"/>
          </w:tcPr>
          <w:p>
            <w:r>
              <w:t>对超期项目进行红黄灯管理</w:t>
            </w:r>
          </w:p>
        </w:tc>
        <w:tc>
          <w:tcPr>
            <w:tcW w:type="dxa" w:w="3324"/>
          </w:tcPr>
          <w:p>
            <w:r>
              <w:t>平均超期天数下降</w:t>
            </w:r>
          </w:p>
        </w:tc>
      </w:tr>
    </w:tbl>
    <w:p>
      <w:pPr>
        <w:pStyle w:val="Heading1"/>
      </w:pPr>
      <w:r>
        <w:t>7. 后续决策建议</w:t>
      </w:r>
    </w:p>
    <w:p>
      <w:pPr>
        <w:pStyle w:val="ListBullet"/>
      </w:pPr>
      <w:r>
        <w:t>对高风险客户设置人工确认机制，AI只提供证据汇总和建议，不直接执行价格或合同变更。</w:t>
      </w:r>
    </w:p>
    <w:p>
      <w:pPr>
        <w:pStyle w:val="ListBullet"/>
      </w:pPr>
      <w:r>
        <w:t>将投诉、交付、竞品、经营指标纳入统一风险事件，避免各模块分别分析导致结论冲突。</w:t>
      </w:r>
    </w:p>
    <w:p>
      <w:pPr>
        <w:pStyle w:val="ListBullet"/>
      </w:pPr>
      <w:r>
        <w:t>对风险规则进行月度复盘，关注误报率、漏报率和规则触发后的实际业务结果。</w:t>
      </w:r>
    </w:p>
    <w:p>
      <w:pPr>
        <w:pStyle w:val="ListBullet"/>
      </w:pPr>
      <w:r>
        <w:t>建立‘措施—执行—效果’闭环，便于后续Agent学习历史处置经验并给出更可解释的建议。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