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云帆科技客诉根因分类与闭环规范</w:t>
      </w:r>
    </w:p>
    <w:p>
      <w:pPr>
        <w:jc w:val="center"/>
      </w:pPr>
      <w:r>
        <w:rPr>
          <w:b/>
          <w:sz w:val="21"/>
        </w:rPr>
        <w:t>B2B SaaS / 企业软件 | 客户体验风险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云帆科技的客户成功与产品运营及相关协作部门，覆盖云帆CRM专业版、数据分析增强包、客服工单中心。目标是在客户体验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同根因投诉30天达到5起，或P1/P2投诉未按SLA关闭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投诉明细、版本发布、根因分析、回访结果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续费率、活跃度、API可用率、实施周期、P1/P2投诉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责任部门完成五问分析并验证修复效果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再查询与“投诉明细、版本发布、根因分析、回访结果”相关的结构化记录，按日期、客户等级和产品范围过滤。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立即升级客户成功与产品运营负责人；涉及价格、客户通知、状态变更时必须人工审批。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客诉根因分类与闭环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检索标签：云帆科技；B2B SaaS / 企业软件；客户体验风险；客诉根因分类与闭环规范；投诉明细、版本发布、根因分析、回访结果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