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云帆科技数据安全与合规检查清单</w:t>
      </w:r>
    </w:p>
    <w:p>
      <w:pPr>
        <w:jc w:val="center"/>
      </w:pPr>
      <w:r>
        <w:rPr>
          <w:b/>
          <w:sz w:val="21"/>
        </w:rPr>
        <w:t>B2B SaaS / 企业软件 | 数据合规风险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云帆科技的客户成功与产品运营及相关协作部门，覆盖云帆CRM专业版、数据分析增强包、客服工单中心。目标是在数据合规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发现越权访问、敏感字段外传或审计日志缺失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权限矩阵、操作日志、数据流向、第三方清单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续费率、活跃度、API可用率、实施周期、P1/P2投诉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立即隔离风险账号并由安全负责人复核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再查询与“权限矩阵、操作日志、数据流向、第三方清单”相关的结构化记录，按日期、客户等级和产品范围过滤。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立即升级客户成功与产品运营负责人；涉及价格、客户通知、状态变更时必须人工审批。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数据安全与合规检查清单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检索标签：云帆科技；B2B SaaS / 企业软件；数据合规风险；数据安全与合规检查清单；权限矩阵、操作日志、数据流向、第三方清单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