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云帆科技API稳定性与故障升级SLA</w:t>
      </w:r>
    </w:p>
    <w:p>
      <w:pPr>
        <w:jc w:val="center"/>
      </w:pPr>
      <w:r>
        <w:rPr>
          <w:b/>
          <w:sz w:val="21"/>
        </w:rPr>
        <w:t>B2B SaaS / 企业软件 | 稳定性风险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目的与适用范围</w:t>
      </w:r>
    </w:p>
    <w:p>
      <w:r>
        <w:t>本规范用于云帆科技的客户成功与产品运营及相关协作部门，覆盖云帆CRM专业版、数据分析增强包、客服工单中心。目标是在稳定性风险形成前识别可验证信号，并把判断、处置和复核过程写入审计链。本文档是业务口径，不替代合同、法律意见或授权审批。</w:t>
      </w:r>
    </w:p>
    <w:p>
      <w:pPr>
        <w:pStyle w:val="Heading1"/>
      </w:pPr>
      <w:r>
        <w:t>2. 触发条件与证据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触发阈值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月度可用率低于99.90%，或30天同类P2故障达到3次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优先证据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监控告警、故障工单、客户影响范围、恢复时长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辅助信号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续费率、活跃度、API可用率、实施周期、P1/P2投诉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首要动作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P1故障15分钟响应、2小时给出临时方案</w:t>
            </w:r>
          </w:p>
        </w:tc>
      </w:tr>
    </w:tbl>
    <w:p>
      <w:pPr>
        <w:pStyle w:val="Heading1"/>
      </w:pPr>
      <w:r>
        <w:t>3. Agent 检索与判断顺序</w:t>
      </w:r>
    </w:p>
    <w:p>
      <w:pPr>
        <w:pStyle w:val="ListBullet"/>
        <w:spacing w:after="40"/>
      </w:pPr>
      <w:r>
        <w:t>先调用经营指标工具确认异常是否真实、持续多久以及影响范围，禁止仅凭问题措辞预设结论。</w:t>
      </w:r>
    </w:p>
    <w:p>
      <w:pPr>
        <w:pStyle w:val="ListBullet"/>
        <w:spacing w:after="40"/>
      </w:pPr>
      <w:r>
        <w:t>再查询与“监控告警、故障工单、客户影响范围、恢复时长”相关的结构化记录，按日期、客户等级和产品范围过滤。</w:t>
      </w:r>
    </w:p>
    <w:p>
      <w:pPr>
        <w:pStyle w:val="ListBullet"/>
        <w:spacing w:after="40"/>
      </w:pPr>
      <w:r>
        <w:t>随后检索本企业知识库，核对阈值、SLA、流程与授权边界；历史报告只能作为类比证据。</w:t>
      </w:r>
    </w:p>
    <w:p>
      <w:pPr>
        <w:pStyle w:val="ListBullet"/>
        <w:spacing w:after="40"/>
      </w:pPr>
      <w:r>
        <w:t>只有内部证据不足或需要行业对照时才联网检索，并记录网页标题、URL和访问时间。</w:t>
      </w:r>
    </w:p>
    <w:p>
      <w:pPr>
        <w:pStyle w:val="ListBullet"/>
        <w:spacing w:after="40"/>
      </w:pPr>
      <w:r>
        <w:t>若来源冲突，应在结论中并列冲突内容、口径差异和下一步核验责任人。</w:t>
      </w:r>
    </w:p>
    <w:p>
      <w:pPr>
        <w:pStyle w:val="Heading1"/>
      </w:pPr>
      <w:r>
        <w:t>4. 分级处置流程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低风险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记录观察项，纳入下一周期复核；不得自动触发外部动作。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中风险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指定业务负责人和截止日，补齐关键证据并形成纠偏方案。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立即升级客户成功与产品运营负责人；涉及价格、客户通知、状态变更时必须人工审批。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关闭条件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触发指标恢复、纠偏动作完成且复核人确认；保留原因、证据和验证结果。</w:t>
            </w:r>
          </w:p>
        </w:tc>
      </w:tr>
    </w:tbl>
    <w:p>
      <w:pPr>
        <w:pStyle w:val="Heading1"/>
      </w:pPr>
      <w:r>
        <w:t>5. 输出与审计要求</w:t>
      </w:r>
    </w:p>
    <w:p>
      <w:r>
        <w:t>风险报告应按“现象—证据—判断—不确定性—动作”组织。对于“API稳定性与故障升级SLA”，至少引用一条结构化数据和一条制度或历史材料。建议必须标明负责人、截止时间、复核方式；无法确认的信息写成待核实事项，不得编造客户、金额或已执行结果。</w:t>
      </w:r>
    </w:p>
    <w:p>
      <w:r>
        <w:t>检索标签：云帆科技；B2B SaaS / 企业软件；稳定性风险；API稳定性与故障升级SLA；监控告警、故障工单、客户影响范围、恢复时长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