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悦购零售全渠道价格一致性治理规则</w:t>
      </w:r>
    </w:p>
    <w:p>
      <w:pPr>
        <w:jc w:val="center"/>
      </w:pPr>
      <w:r>
        <w:rPr>
          <w:b/>
          <w:sz w:val="21"/>
        </w:rPr>
        <w:t>零售 / 电商 / 全渠道 | 价格与品牌风险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悦购零售的商品运营与会员增长及相关协作部门，覆盖会员体系、极速达配送、家居精选与个护系列。目标是在价格与品牌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线上线下价差超过10%且无备案，或渠道低价持续24小时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渠道价格、促销备案、库存、会员权益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毛利率、退货率、履约时效、会员留存、库存周转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确认是否授权活动，再执行纠价和渠道沟通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再查询与“渠道价格、促销备案、库存、会员权益”相关的结构化记录，按日期、客户等级和产品范围过滤。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立即升级商品运营与会员增长负责人；涉及价格、客户通知、状态变更时必须人工审批。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全渠道价格一致性治理规则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检索标签：悦购零售；零售 / 电商 / 全渠道；价格与品牌风险；全渠道价格一致性治理规则；渠道价格、促销备案、库存、会员权益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