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悦购零售库存周转与滞销处置办法</w:t>
      </w:r>
    </w:p>
    <w:p>
      <w:pPr>
        <w:jc w:val="center"/>
      </w:pPr>
      <w:r>
        <w:rPr>
          <w:b/>
          <w:sz w:val="21"/>
        </w:rPr>
        <w:t>零售 / 电商 / 全渠道 | 库存风险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悦购零售的商品运营与会员增长及相关协作部门，覆盖会员体系、极速达配送、家居精选与个护系列。目标是在库存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库存周转天数超过90天或临期库存占比超过5%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库龄、销量、毛利、退货、采购在途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毛利率、退货率、履约时效、会员留存、库存周转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优先调拨和组合销售，降价需经过毛利校验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再查询与“库龄、销量、毛利、退货、采购在途”相关的结构化记录，按日期、客户等级和产品范围过滤。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立即升级商品运营与会员增长负责人；涉及价格、客户通知、状态变更时必须人工审批。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库存周转与滞销处置办法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检索标签：悦购零售；零售 / 电商 / 全渠道；库存风险；库存周转与滞销处置办法；库龄、销量、毛利、退货、采购在途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