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悦购零售退货率异常诊断手册</w:t>
      </w:r>
    </w:p>
    <w:p>
      <w:pPr>
        <w:jc w:val="center"/>
      </w:pPr>
      <w:r>
        <w:rPr>
          <w:b/>
          <w:sz w:val="21"/>
        </w:rPr>
        <w:t>零售 / 电商 / 全渠道 | 质量与履约风险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悦购零售的商品运营与会员增长及相关协作部门，覆盖会员体系、极速达配送、家居精选与个护系列。目标是在质量与履约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品类退货率超过12%，或连续两周高于历史均值30%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退货原因、商品批次、渠道、物流、评价文本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毛利率、退货率、履约时效、会员留存、库存周转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区分质量、描述、尺码和履约原因后再制定措施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再查询与“退货原因、商品批次、渠道、物流、评价文本”相关的结构化记录，按日期、客户等级和产品范围过滤。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立即升级商品运营与会员增长负责人；涉及价格、客户通知、状态变更时必须人工审批。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退货率异常诊断手册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检索标签：悦购零售；零售 / 电商 / 全渠道；质量与履约风险；退货率异常诊断手册；退货原因、商品批次、渠道、物流、评价文本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