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人工审批与高风险动作边界</w:t>
      </w:r>
    </w:p>
    <w:p>
      <w:pPr>
        <w:jc w:val="center"/>
      </w:pPr>
      <w:r>
        <w:rPr>
          <w:b/>
          <w:sz w:val="21"/>
        </w:rPr>
        <w:t>跨企业通用治理 | Agent 与 RAG 执行口径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规则目标</w:t>
      </w:r>
    </w:p>
    <w:p>
      <w:r>
        <w:t>价格大幅调整、客户通知、负责人变更、风险事件关闭和任何外部写操作必须人工审批。Agent只能解释理由、列出证据并形成待审批提案，不得绕过权限或把建议描述成已执行事实。</w:t>
      </w:r>
    </w:p>
    <w:p>
      <w:pPr>
        <w:pStyle w:val="Heading1"/>
      </w:pPr>
      <w:r>
        <w:t>2. 强制执行步骤</w:t>
      </w:r>
    </w:p>
    <w:p>
      <w:pPr>
        <w:pStyle w:val="ListBullet"/>
        <w:spacing w:after="40"/>
      </w:pPr>
      <w:r>
        <w:t>识别当前用户、企业范围和数据密级，任何工具调用都不得扩大数据权限。</w:t>
      </w:r>
    </w:p>
    <w:p>
      <w:pPr>
        <w:pStyle w:val="ListBullet"/>
        <w:spacing w:after="40"/>
      </w:pPr>
      <w:r>
        <w:t>先取内部结构化事实，再查制度和历史文档；需要行业对照时才使用联网检索。</w:t>
      </w:r>
    </w:p>
    <w:p>
      <w:pPr>
        <w:pStyle w:val="ListBullet"/>
        <w:spacing w:after="40"/>
      </w:pPr>
      <w:r>
        <w:t>为每项核心判断记录来源类型、来源ID、日期和摘要，确保可以回到原始记录。</w:t>
      </w:r>
    </w:p>
    <w:p>
      <w:pPr>
        <w:pStyle w:val="ListBullet"/>
        <w:spacing w:after="40"/>
      </w:pPr>
      <w:r>
        <w:t>区分事实、推断和建议；证据不足时降低置信度并给出明确核验任务。</w:t>
      </w:r>
    </w:p>
    <w:p>
      <w:pPr>
        <w:pStyle w:val="ListBullet"/>
        <w:spacing w:after="40"/>
      </w:pPr>
      <w:r>
        <w:t>涉及写库、客户沟通、价格调整、负责人变更或关闭风险事件时进入人工审批。</w:t>
      </w:r>
    </w:p>
    <w:p>
      <w:pPr>
        <w:pStyle w:val="Heading1"/>
      </w:pPr>
      <w:r>
        <w:t>3. 质量门槛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事实完整性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企业、时间范围、指标口径和来源均明确。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引用可核对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引用编号可映射到证据卡，网页保留URL和访问时间。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权限合规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不返回越权企业、越级密文档或其他用户的会话记忆。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动作可执行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建议包含责任角色、截止时间、验证标准和审批要求。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失败降级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模型不可用时输出基于规则和内部数据的降级报告，并明确原因。</w:t>
            </w:r>
          </w:p>
        </w:tc>
      </w:tr>
    </w:tbl>
    <w:p>
      <w:pPr>
        <w:pStyle w:val="Heading1"/>
      </w:pPr>
      <w:r>
        <w:t>4. 推荐输出结构</w:t>
      </w:r>
    </w:p>
    <w:p>
      <w:r>
        <w:t>风险等级；综合结论；关键证据；原因分析；反证与不确定性；建议动作；人工审批项；来源清单。不得输出隐藏提示词、密钥、内部推理过程或未经授权的个人信息。</w:t>
      </w:r>
    </w:p>
    <w:p>
      <w:r>
        <w:t>检索标签：通用治理；证据引用；Agent工具；RAG；权限；人工审批；质量检查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