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跨源数据冲突处理规则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指标、投诉、知识文档和网页出现冲突时，先比较数据时间、业务口径、企业范围和来源权威性。不得静默选择对结论最有利的一项；报告中应并列冲突事实并给出核验步骤。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