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04B8" w14:textId="77777777" w:rsidR="00561CF1" w:rsidRDefault="00000000">
      <w:pPr>
        <w:spacing w:after="0" w:line="240" w:lineRule="auto"/>
        <w:jc w:val="center"/>
      </w:pPr>
      <w:r>
        <w:rPr>
          <w:b/>
          <w:color w:val="412382"/>
          <w:sz w:val="32"/>
        </w:rPr>
        <w:t>ZHENGYU ZHOU</w:t>
      </w:r>
    </w:p>
    <w:p w14:paraId="6308BE4A" w14:textId="77777777" w:rsidR="00561CF1" w:rsidRDefault="00000000">
      <w:pPr>
        <w:spacing w:after="40" w:line="240" w:lineRule="auto"/>
        <w:jc w:val="center"/>
      </w:pPr>
      <w:r>
        <w:rPr>
          <w:sz w:val="17"/>
        </w:rPr>
        <w:t>Boston, MA | zhouzhengyu221@gmail.com | (978) 539-1178 | linkedin.com/in/zhengyu-zhou-ksgg</w:t>
      </w:r>
    </w:p>
    <w:p w14:paraId="6179069B" w14:textId="77777777" w:rsidR="00561CF1" w:rsidRDefault="00000000">
      <w:pPr>
        <w:pBdr>
          <w:bottom w:val="single" w:sz="8" w:space="1" w:color="7B4DFF"/>
        </w:pBdr>
        <w:spacing w:before="80" w:after="20" w:line="240" w:lineRule="auto"/>
      </w:pPr>
      <w:r>
        <w:rPr>
          <w:b/>
          <w:color w:val="46278C"/>
          <w:sz w:val="20"/>
        </w:rPr>
        <w:t>SUMMARY</w:t>
      </w:r>
    </w:p>
    <w:p w14:paraId="7AFF6476" w14:textId="77777777" w:rsidR="00561CF1" w:rsidRDefault="00000000">
      <w:pPr>
        <w:spacing w:after="20" w:line="240" w:lineRule="auto"/>
      </w:pPr>
      <w:r>
        <w:rPr>
          <w:sz w:val="17"/>
        </w:rPr>
        <w:t>MS Applied Business Analytics candidate with hands-on experience in GTM analytics, business reporting, customer segmentation, dashboard development, financial analysis, and workflow automation. Skilled in Excel, SQL, Python, Tableau, Power BI, and GA4, with experience translating business questions into clear analyses, operational recommendations, and presentation-ready insights. Strong fit for sales strategy and operations roles requiring account/funnel analysis, process improvement, cross-functional communication, and AI-assisted analytical support.</w:t>
      </w:r>
    </w:p>
    <w:p w14:paraId="32BE023F" w14:textId="77777777" w:rsidR="00561CF1" w:rsidRDefault="00000000">
      <w:pPr>
        <w:pBdr>
          <w:bottom w:val="single" w:sz="8" w:space="1" w:color="7B4DFF"/>
        </w:pBdr>
        <w:spacing w:before="80" w:after="20" w:line="240" w:lineRule="auto"/>
      </w:pPr>
      <w:r>
        <w:rPr>
          <w:b/>
          <w:color w:val="46278C"/>
          <w:sz w:val="20"/>
        </w:rPr>
        <w:t>EDUCATION</w:t>
      </w:r>
    </w:p>
    <w:tbl>
      <w:tblPr>
        <w:tblW w:w="0" w:type="auto"/>
        <w:tblLook w:val="04A0" w:firstRow="1" w:lastRow="0" w:firstColumn="1" w:lastColumn="0" w:noHBand="0" w:noVBand="1"/>
      </w:tblPr>
      <w:tblGrid>
        <w:gridCol w:w="5429"/>
        <w:gridCol w:w="5429"/>
      </w:tblGrid>
      <w:tr w:rsidR="00561CF1" w14:paraId="01D7E8BA" w14:textId="77777777">
        <w:tc>
          <w:tcPr>
            <w:tcW w:w="5429" w:type="dxa"/>
            <w:tcBorders>
              <w:top w:val="nil"/>
              <w:left w:val="nil"/>
              <w:bottom w:val="nil"/>
              <w:right w:val="nil"/>
            </w:tcBorders>
          </w:tcPr>
          <w:p w14:paraId="3E68FCA2" w14:textId="77777777" w:rsidR="00561CF1" w:rsidRDefault="00000000">
            <w:pPr>
              <w:spacing w:after="0" w:line="240" w:lineRule="auto"/>
            </w:pPr>
            <w:r>
              <w:rPr>
                <w:b/>
              </w:rPr>
              <w:t>Boston University — Boston, MA</w:t>
            </w:r>
          </w:p>
        </w:tc>
        <w:tc>
          <w:tcPr>
            <w:tcW w:w="5429" w:type="dxa"/>
            <w:tcBorders>
              <w:top w:val="nil"/>
              <w:left w:val="nil"/>
              <w:bottom w:val="nil"/>
              <w:right w:val="nil"/>
            </w:tcBorders>
          </w:tcPr>
          <w:p w14:paraId="5CB0B335" w14:textId="77777777" w:rsidR="00561CF1" w:rsidRDefault="00000000">
            <w:pPr>
              <w:spacing w:after="0" w:line="240" w:lineRule="auto"/>
              <w:jc w:val="right"/>
            </w:pPr>
            <w:r>
              <w:rPr>
                <w:sz w:val="17"/>
              </w:rPr>
              <w:t>Sep. 2024 – May 2026</w:t>
            </w:r>
          </w:p>
        </w:tc>
      </w:tr>
    </w:tbl>
    <w:p w14:paraId="5307CD55" w14:textId="77777777" w:rsidR="00561CF1" w:rsidRDefault="00000000">
      <w:pPr>
        <w:spacing w:after="0" w:line="240" w:lineRule="auto"/>
        <w:rPr>
          <w:sz w:val="17"/>
          <w:lang w:eastAsia="zh-CN"/>
        </w:rPr>
      </w:pPr>
      <w:r>
        <w:rPr>
          <w:sz w:val="17"/>
        </w:rPr>
        <w:t>Master of Science in Applied Business Analytics | GPA: 3.5/4.0</w:t>
      </w:r>
    </w:p>
    <w:p w14:paraId="6D43EE2C" w14:textId="37AE2D2E" w:rsidR="00BB5EC8" w:rsidRPr="00BB5EC8" w:rsidRDefault="00BB5EC8" w:rsidP="00BB5EC8">
      <w:pPr>
        <w:spacing w:after="20" w:line="240" w:lineRule="auto"/>
        <w:rPr>
          <w:rFonts w:hint="eastAsia"/>
          <w:lang w:eastAsia="zh-CN"/>
        </w:rPr>
      </w:pPr>
      <w:r>
        <w:rPr>
          <w:sz w:val="16"/>
        </w:rPr>
        <w:t>Relevant Coursework: Business Analytics, Python &amp; SQL, Marketing Analytics, Operations Management, Enterprise Risk Analytics, Data Mining, Cloud Analytics, Applied Generative AI</w:t>
      </w:r>
    </w:p>
    <w:tbl>
      <w:tblPr>
        <w:tblW w:w="0" w:type="auto"/>
        <w:tblLook w:val="04A0" w:firstRow="1" w:lastRow="0" w:firstColumn="1" w:lastColumn="0" w:noHBand="0" w:noVBand="1"/>
      </w:tblPr>
      <w:tblGrid>
        <w:gridCol w:w="5429"/>
        <w:gridCol w:w="5429"/>
      </w:tblGrid>
      <w:tr w:rsidR="00561CF1" w14:paraId="5B3F0619" w14:textId="77777777">
        <w:tc>
          <w:tcPr>
            <w:tcW w:w="5429" w:type="dxa"/>
            <w:tcBorders>
              <w:top w:val="nil"/>
              <w:left w:val="nil"/>
              <w:bottom w:val="nil"/>
              <w:right w:val="nil"/>
            </w:tcBorders>
          </w:tcPr>
          <w:p w14:paraId="6D5D24B3" w14:textId="77777777" w:rsidR="00561CF1" w:rsidRDefault="00000000">
            <w:pPr>
              <w:spacing w:after="0" w:line="240" w:lineRule="auto"/>
            </w:pPr>
            <w:r>
              <w:rPr>
                <w:b/>
              </w:rPr>
              <w:t>Gordon College — Wenham, MA</w:t>
            </w:r>
          </w:p>
        </w:tc>
        <w:tc>
          <w:tcPr>
            <w:tcW w:w="5429" w:type="dxa"/>
            <w:tcBorders>
              <w:top w:val="nil"/>
              <w:left w:val="nil"/>
              <w:bottom w:val="nil"/>
              <w:right w:val="nil"/>
            </w:tcBorders>
          </w:tcPr>
          <w:p w14:paraId="2955CA4F" w14:textId="77777777" w:rsidR="00561CF1" w:rsidRDefault="00000000">
            <w:pPr>
              <w:spacing w:after="0" w:line="240" w:lineRule="auto"/>
              <w:jc w:val="right"/>
            </w:pPr>
            <w:r>
              <w:rPr>
                <w:sz w:val="17"/>
              </w:rPr>
              <w:t>Aug. 2021 – May 2024</w:t>
            </w:r>
          </w:p>
        </w:tc>
      </w:tr>
    </w:tbl>
    <w:p w14:paraId="1BD9DF46" w14:textId="77777777" w:rsidR="00561CF1" w:rsidRDefault="00000000">
      <w:pPr>
        <w:spacing w:after="0" w:line="240" w:lineRule="auto"/>
      </w:pPr>
      <w:r>
        <w:rPr>
          <w:sz w:val="17"/>
        </w:rPr>
        <w:t>Bachelor of Arts in Business Administration and Management | Magna Cum Laude, Presidential Honor List</w:t>
      </w:r>
    </w:p>
    <w:p w14:paraId="012666A4" w14:textId="77777777" w:rsidR="00561CF1" w:rsidRDefault="00000000">
      <w:pPr>
        <w:pBdr>
          <w:bottom w:val="single" w:sz="8" w:space="1" w:color="7B4DFF"/>
        </w:pBdr>
        <w:spacing w:before="80" w:after="20" w:line="240" w:lineRule="auto"/>
      </w:pPr>
      <w:r>
        <w:rPr>
          <w:b/>
          <w:color w:val="46278C"/>
          <w:sz w:val="20"/>
        </w:rPr>
        <w:t>EXPERIENCE</w:t>
      </w:r>
    </w:p>
    <w:tbl>
      <w:tblPr>
        <w:tblW w:w="0" w:type="auto"/>
        <w:jc w:val="center"/>
        <w:tblLook w:val="04A0" w:firstRow="1" w:lastRow="0" w:firstColumn="1" w:lastColumn="0" w:noHBand="0" w:noVBand="1"/>
      </w:tblPr>
      <w:tblGrid>
        <w:gridCol w:w="5429"/>
        <w:gridCol w:w="5429"/>
      </w:tblGrid>
      <w:tr w:rsidR="00561CF1" w14:paraId="1E49698C" w14:textId="77777777">
        <w:trPr>
          <w:jc w:val="center"/>
        </w:trPr>
        <w:tc>
          <w:tcPr>
            <w:tcW w:w="5429" w:type="dxa"/>
            <w:tcBorders>
              <w:top w:val="nil"/>
              <w:left w:val="nil"/>
              <w:bottom w:val="nil"/>
              <w:right w:val="nil"/>
            </w:tcBorders>
            <w:vAlign w:val="center"/>
          </w:tcPr>
          <w:p w14:paraId="393C501C" w14:textId="77777777" w:rsidR="00561CF1" w:rsidRDefault="00000000">
            <w:pPr>
              <w:spacing w:after="0" w:line="240" w:lineRule="auto"/>
            </w:pPr>
            <w:r>
              <w:rPr>
                <w:b/>
                <w:sz w:val="19"/>
              </w:rPr>
              <w:t>Lions Financial — Boston, MA</w:t>
            </w:r>
          </w:p>
        </w:tc>
        <w:tc>
          <w:tcPr>
            <w:tcW w:w="5429" w:type="dxa"/>
            <w:tcBorders>
              <w:top w:val="nil"/>
              <w:left w:val="nil"/>
              <w:bottom w:val="nil"/>
              <w:right w:val="nil"/>
            </w:tcBorders>
            <w:vAlign w:val="center"/>
          </w:tcPr>
          <w:p w14:paraId="59DA144B" w14:textId="77777777" w:rsidR="00561CF1" w:rsidRDefault="00000000">
            <w:pPr>
              <w:spacing w:after="0" w:line="240" w:lineRule="auto"/>
              <w:jc w:val="right"/>
            </w:pPr>
            <w:r>
              <w:t>May 2026 – Present</w:t>
            </w:r>
          </w:p>
        </w:tc>
      </w:tr>
    </w:tbl>
    <w:p w14:paraId="0162F3B5" w14:textId="77777777" w:rsidR="00561CF1" w:rsidRDefault="00000000">
      <w:pPr>
        <w:spacing w:after="0" w:line="240" w:lineRule="auto"/>
      </w:pPr>
      <w:r>
        <w:rPr>
          <w:i/>
        </w:rPr>
        <w:t>Business Advisory &amp; Risk Management Intern</w:t>
      </w:r>
    </w:p>
    <w:p w14:paraId="4C2C240B" w14:textId="77777777" w:rsidR="00561CF1" w:rsidRDefault="00000000">
      <w:pPr>
        <w:spacing w:after="0" w:line="240" w:lineRule="auto"/>
        <w:ind w:left="259" w:hanging="144"/>
      </w:pPr>
      <w:r>
        <w:rPr>
          <w:sz w:val="17"/>
        </w:rPr>
        <w:t>• Analyzed keyword demand, audience behavior, competitor positioning, and website conversion paths to support GTM content strategy, CTA planning, and lead generation recommendations.</w:t>
      </w:r>
    </w:p>
    <w:p w14:paraId="546FAA2A" w14:textId="77777777" w:rsidR="00561CF1" w:rsidRDefault="00000000">
      <w:pPr>
        <w:spacing w:after="0" w:line="240" w:lineRule="auto"/>
        <w:ind w:left="259" w:hanging="144"/>
      </w:pPr>
      <w:r>
        <w:rPr>
          <w:sz w:val="17"/>
        </w:rPr>
        <w:t>• Developed campaign planning materials across the awareness-to-action funnel, including journey maps, lead magnet strategy, ad copy concepts, and pilot campaign tracking logic.</w:t>
      </w:r>
    </w:p>
    <w:p w14:paraId="5ADFEF56" w14:textId="77777777" w:rsidR="00561CF1" w:rsidRDefault="00000000">
      <w:pPr>
        <w:spacing w:after="0" w:line="240" w:lineRule="auto"/>
        <w:ind w:left="259" w:hanging="144"/>
      </w:pPr>
      <w:r>
        <w:rPr>
          <w:sz w:val="17"/>
        </w:rPr>
        <w:t>• Used GA4, Excel, and Python to analyze user behavior, funnel drop-off, and engagement patterns; translated findings into practical recommendations for improving lead quality and conversion.</w:t>
      </w:r>
    </w:p>
    <w:p w14:paraId="5BEDAD87" w14:textId="77777777" w:rsidR="00561CF1" w:rsidRDefault="00000000">
      <w:pPr>
        <w:spacing w:after="0" w:line="240" w:lineRule="auto"/>
        <w:ind w:left="259" w:hanging="144"/>
      </w:pPr>
      <w:r>
        <w:rPr>
          <w:sz w:val="17"/>
        </w:rPr>
        <w:t>• Researched M&amp;A valuation, corporate finance, real estate debt financing, REITs, funding rounds, investor profiles, and market trends to produce company screening and due diligence reports.</w:t>
      </w:r>
    </w:p>
    <w:p w14:paraId="4826F47A" w14:textId="77777777" w:rsidR="00561CF1" w:rsidRDefault="00000000">
      <w:pPr>
        <w:spacing w:after="0" w:line="240" w:lineRule="auto"/>
        <w:ind w:left="259" w:hanging="144"/>
      </w:pPr>
      <w:r>
        <w:rPr>
          <w:sz w:val="17"/>
        </w:rPr>
        <w:t>• Built financial models and recurring analysis workflows using Excel and Python to evaluate investment opportunities and improve reporting efficiency.</w:t>
      </w:r>
    </w:p>
    <w:tbl>
      <w:tblPr>
        <w:tblW w:w="0" w:type="auto"/>
        <w:jc w:val="center"/>
        <w:tblLook w:val="04A0" w:firstRow="1" w:lastRow="0" w:firstColumn="1" w:lastColumn="0" w:noHBand="0" w:noVBand="1"/>
      </w:tblPr>
      <w:tblGrid>
        <w:gridCol w:w="5429"/>
        <w:gridCol w:w="5429"/>
      </w:tblGrid>
      <w:tr w:rsidR="00561CF1" w14:paraId="744A02DB" w14:textId="77777777">
        <w:trPr>
          <w:jc w:val="center"/>
        </w:trPr>
        <w:tc>
          <w:tcPr>
            <w:tcW w:w="5429" w:type="dxa"/>
            <w:tcBorders>
              <w:top w:val="nil"/>
              <w:left w:val="nil"/>
              <w:bottom w:val="nil"/>
              <w:right w:val="nil"/>
            </w:tcBorders>
            <w:vAlign w:val="center"/>
          </w:tcPr>
          <w:p w14:paraId="197DBD65" w14:textId="77777777" w:rsidR="00561CF1" w:rsidRDefault="00000000">
            <w:pPr>
              <w:spacing w:after="0" w:line="240" w:lineRule="auto"/>
            </w:pPr>
            <w:r>
              <w:rPr>
                <w:b/>
                <w:sz w:val="19"/>
              </w:rPr>
              <w:t>Bolun Bole Clothing Co., Ltd. — Wenzhou, Zhejiang, China</w:t>
            </w:r>
          </w:p>
        </w:tc>
        <w:tc>
          <w:tcPr>
            <w:tcW w:w="5429" w:type="dxa"/>
            <w:tcBorders>
              <w:top w:val="nil"/>
              <w:left w:val="nil"/>
              <w:bottom w:val="nil"/>
              <w:right w:val="nil"/>
            </w:tcBorders>
            <w:vAlign w:val="center"/>
          </w:tcPr>
          <w:p w14:paraId="07D793B4" w14:textId="77777777" w:rsidR="00561CF1" w:rsidRDefault="00000000">
            <w:pPr>
              <w:spacing w:after="0" w:line="240" w:lineRule="auto"/>
              <w:jc w:val="right"/>
            </w:pPr>
            <w:r>
              <w:t>May 2025 – Aug. 2025</w:t>
            </w:r>
          </w:p>
        </w:tc>
      </w:tr>
    </w:tbl>
    <w:p w14:paraId="565C7AAD" w14:textId="77777777" w:rsidR="00561CF1" w:rsidRDefault="00000000">
      <w:pPr>
        <w:spacing w:after="0" w:line="240" w:lineRule="auto"/>
      </w:pPr>
      <w:r>
        <w:rPr>
          <w:i/>
        </w:rPr>
        <w:t>Business Analyst Intern</w:t>
      </w:r>
    </w:p>
    <w:p w14:paraId="34DB2713" w14:textId="77777777" w:rsidR="00561CF1" w:rsidRDefault="00000000">
      <w:pPr>
        <w:spacing w:after="0" w:line="240" w:lineRule="auto"/>
        <w:ind w:left="259" w:hanging="144"/>
      </w:pPr>
      <w:r>
        <w:rPr>
          <w:sz w:val="17"/>
        </w:rPr>
        <w:t>• Analyzed customer and campaign data to identify performance trends, support segmentation decisions, and improve digital marketing effectiveness.</w:t>
      </w:r>
    </w:p>
    <w:p w14:paraId="5676D0C7" w14:textId="77777777" w:rsidR="00561CF1" w:rsidRDefault="00000000">
      <w:pPr>
        <w:spacing w:after="0" w:line="240" w:lineRule="auto"/>
        <w:ind w:left="259" w:hanging="144"/>
      </w:pPr>
      <w:r>
        <w:rPr>
          <w:sz w:val="17"/>
        </w:rPr>
        <w:t>• Built and maintained an email marketing database with 200,000+ customer records, improving the foundation for campaign targeting and lifecycle analysis.</w:t>
      </w:r>
    </w:p>
    <w:p w14:paraId="27344A12" w14:textId="77777777" w:rsidR="00561CF1" w:rsidRDefault="00000000">
      <w:pPr>
        <w:spacing w:after="0" w:line="240" w:lineRule="auto"/>
        <w:ind w:left="259" w:hanging="144"/>
      </w:pPr>
      <w:r>
        <w:rPr>
          <w:sz w:val="17"/>
        </w:rPr>
        <w:t>• Implemented SQL-based customer segmentation that increased campaign engagement by 15%; conducted A/B testing that lifted open rates by 10% and reduced unsubscribe rates by 5%.</w:t>
      </w:r>
    </w:p>
    <w:p w14:paraId="1C0A5DF9" w14:textId="77777777" w:rsidR="00561CF1" w:rsidRDefault="00000000">
      <w:pPr>
        <w:spacing w:after="0" w:line="240" w:lineRule="auto"/>
        <w:ind w:left="259" w:hanging="144"/>
      </w:pPr>
      <w:r>
        <w:rPr>
          <w:sz w:val="17"/>
        </w:rPr>
        <w:t>• Presented analytical insights and next-step recommendations to internal teams and clients, helping connect campaign performance to customer acquisition strategy.</w:t>
      </w:r>
    </w:p>
    <w:tbl>
      <w:tblPr>
        <w:tblW w:w="0" w:type="auto"/>
        <w:jc w:val="center"/>
        <w:tblLook w:val="04A0" w:firstRow="1" w:lastRow="0" w:firstColumn="1" w:lastColumn="0" w:noHBand="0" w:noVBand="1"/>
      </w:tblPr>
      <w:tblGrid>
        <w:gridCol w:w="5429"/>
        <w:gridCol w:w="5429"/>
      </w:tblGrid>
      <w:tr w:rsidR="00561CF1" w14:paraId="3C478F17" w14:textId="77777777">
        <w:trPr>
          <w:jc w:val="center"/>
        </w:trPr>
        <w:tc>
          <w:tcPr>
            <w:tcW w:w="5429" w:type="dxa"/>
            <w:tcBorders>
              <w:top w:val="nil"/>
              <w:left w:val="nil"/>
              <w:bottom w:val="nil"/>
              <w:right w:val="nil"/>
            </w:tcBorders>
            <w:vAlign w:val="center"/>
          </w:tcPr>
          <w:p w14:paraId="54C3CD3B" w14:textId="77777777" w:rsidR="00561CF1" w:rsidRDefault="00000000">
            <w:pPr>
              <w:spacing w:after="0" w:line="240" w:lineRule="auto"/>
            </w:pPr>
            <w:r>
              <w:rPr>
                <w:b/>
                <w:sz w:val="19"/>
              </w:rPr>
              <w:t>Apexus-Tech — Remote</w:t>
            </w:r>
          </w:p>
        </w:tc>
        <w:tc>
          <w:tcPr>
            <w:tcW w:w="5429" w:type="dxa"/>
            <w:tcBorders>
              <w:top w:val="nil"/>
              <w:left w:val="nil"/>
              <w:bottom w:val="nil"/>
              <w:right w:val="nil"/>
            </w:tcBorders>
            <w:vAlign w:val="center"/>
          </w:tcPr>
          <w:p w14:paraId="76A53DFA" w14:textId="77777777" w:rsidR="00561CF1" w:rsidRDefault="00000000">
            <w:pPr>
              <w:spacing w:after="0" w:line="240" w:lineRule="auto"/>
              <w:jc w:val="right"/>
            </w:pPr>
            <w:r>
              <w:t>Jan. 2024 – Apr. 2024</w:t>
            </w:r>
          </w:p>
        </w:tc>
      </w:tr>
    </w:tbl>
    <w:p w14:paraId="20493528" w14:textId="77777777" w:rsidR="00561CF1" w:rsidRDefault="00000000">
      <w:pPr>
        <w:spacing w:after="0" w:line="240" w:lineRule="auto"/>
      </w:pPr>
      <w:r>
        <w:rPr>
          <w:i/>
        </w:rPr>
        <w:t>Business Analyst Intern</w:t>
      </w:r>
    </w:p>
    <w:p w14:paraId="3389042B" w14:textId="77777777" w:rsidR="00561CF1" w:rsidRDefault="00000000">
      <w:pPr>
        <w:spacing w:after="0" w:line="240" w:lineRule="auto"/>
        <w:ind w:left="259" w:hanging="144"/>
      </w:pPr>
      <w:r>
        <w:rPr>
          <w:sz w:val="17"/>
        </w:rPr>
        <w:t>• Evaluated financial market data vendors including Interactive Brokers, Saxo Markets, and Bloomberg, helping improve data accuracy by 10% for financial analytics use cases.</w:t>
      </w:r>
    </w:p>
    <w:p w14:paraId="2A71A7C9" w14:textId="77777777" w:rsidR="00561CF1" w:rsidRDefault="00000000">
      <w:pPr>
        <w:spacing w:after="0" w:line="240" w:lineRule="auto"/>
        <w:ind w:left="259" w:hanging="144"/>
      </w:pPr>
      <w:r>
        <w:rPr>
          <w:sz w:val="17"/>
        </w:rPr>
        <w:t>• Assessed database options including InfluxDB, MySQL, MongoDB, and SQLite for high-frequency financial time-series data management and reporting requirements.</w:t>
      </w:r>
    </w:p>
    <w:p w14:paraId="653E8C67" w14:textId="77777777" w:rsidR="00561CF1" w:rsidRDefault="00000000">
      <w:pPr>
        <w:spacing w:after="0" w:line="240" w:lineRule="auto"/>
        <w:ind w:left="259" w:hanging="144"/>
      </w:pPr>
      <w:r>
        <w:rPr>
          <w:sz w:val="17"/>
        </w:rPr>
        <w:t>• Built Tableau and Grafana dashboards that reduced recurring reporting time by 30% and improved visibility into operational and financial metrics.</w:t>
      </w:r>
    </w:p>
    <w:p w14:paraId="2B9D4913" w14:textId="77777777" w:rsidR="00561CF1" w:rsidRDefault="00000000">
      <w:pPr>
        <w:spacing w:after="0" w:line="240" w:lineRule="auto"/>
        <w:ind w:left="259" w:hanging="144"/>
      </w:pPr>
      <w:r>
        <w:rPr>
          <w:sz w:val="17"/>
        </w:rPr>
        <w:t>• Developed predictive models in Python and R for insurance pricing strategy, contributing analytical support to a six-month profit improvement initiative.</w:t>
      </w:r>
    </w:p>
    <w:p w14:paraId="4C0928D5" w14:textId="77777777" w:rsidR="00561CF1" w:rsidRDefault="00000000">
      <w:pPr>
        <w:pBdr>
          <w:bottom w:val="single" w:sz="8" w:space="1" w:color="7B4DFF"/>
        </w:pBdr>
        <w:spacing w:before="80" w:after="20" w:line="240" w:lineRule="auto"/>
      </w:pPr>
      <w:r>
        <w:rPr>
          <w:b/>
          <w:color w:val="46278C"/>
          <w:sz w:val="20"/>
        </w:rPr>
        <w:t>PROJECT</w:t>
      </w:r>
    </w:p>
    <w:tbl>
      <w:tblPr>
        <w:tblW w:w="0" w:type="auto"/>
        <w:jc w:val="center"/>
        <w:tblLook w:val="04A0" w:firstRow="1" w:lastRow="0" w:firstColumn="1" w:lastColumn="0" w:noHBand="0" w:noVBand="1"/>
      </w:tblPr>
      <w:tblGrid>
        <w:gridCol w:w="5429"/>
        <w:gridCol w:w="5429"/>
      </w:tblGrid>
      <w:tr w:rsidR="00561CF1" w14:paraId="4F2F69F6" w14:textId="77777777">
        <w:trPr>
          <w:jc w:val="center"/>
        </w:trPr>
        <w:tc>
          <w:tcPr>
            <w:tcW w:w="5429" w:type="dxa"/>
            <w:tcBorders>
              <w:top w:val="nil"/>
              <w:left w:val="nil"/>
              <w:bottom w:val="nil"/>
              <w:right w:val="nil"/>
            </w:tcBorders>
            <w:vAlign w:val="center"/>
          </w:tcPr>
          <w:p w14:paraId="16703F6F" w14:textId="77777777" w:rsidR="00561CF1" w:rsidRDefault="00000000">
            <w:pPr>
              <w:spacing w:after="0" w:line="240" w:lineRule="auto"/>
            </w:pPr>
            <w:r>
              <w:rPr>
                <w:b/>
                <w:sz w:val="19"/>
              </w:rPr>
              <w:t>Flatbush-East Real Estate Optimization — Boston University</w:t>
            </w:r>
          </w:p>
        </w:tc>
        <w:tc>
          <w:tcPr>
            <w:tcW w:w="5429" w:type="dxa"/>
            <w:tcBorders>
              <w:top w:val="nil"/>
              <w:left w:val="nil"/>
              <w:bottom w:val="nil"/>
              <w:right w:val="nil"/>
            </w:tcBorders>
            <w:vAlign w:val="center"/>
          </w:tcPr>
          <w:p w14:paraId="6B3E46CF" w14:textId="77777777" w:rsidR="00561CF1" w:rsidRDefault="00000000">
            <w:pPr>
              <w:spacing w:after="0" w:line="240" w:lineRule="auto"/>
              <w:jc w:val="right"/>
            </w:pPr>
            <w:r>
              <w:t>Nov. 2025</w:t>
            </w:r>
          </w:p>
        </w:tc>
      </w:tr>
    </w:tbl>
    <w:p w14:paraId="6900D875" w14:textId="77777777" w:rsidR="00561CF1" w:rsidRDefault="00000000">
      <w:pPr>
        <w:spacing w:after="0" w:line="240" w:lineRule="auto"/>
      </w:pPr>
      <w:r>
        <w:rPr>
          <w:i/>
        </w:rPr>
        <w:t>Project Lead, DSI 2025 Annual Meeting</w:t>
      </w:r>
    </w:p>
    <w:p w14:paraId="607CF564" w14:textId="77777777" w:rsidR="00561CF1" w:rsidRDefault="00000000">
      <w:pPr>
        <w:spacing w:after="0" w:line="240" w:lineRule="auto"/>
        <w:ind w:left="259" w:hanging="144"/>
      </w:pPr>
      <w:r>
        <w:rPr>
          <w:sz w:val="17"/>
        </w:rPr>
        <w:t>• Applied quantitative optimization and geospatial analytics to evaluate real estate investment opportunities in Brooklyn’s Flatbush-East corridor.</w:t>
      </w:r>
    </w:p>
    <w:p w14:paraId="34DEE4F4" w14:textId="77777777" w:rsidR="00561CF1" w:rsidRDefault="00000000">
      <w:pPr>
        <w:spacing w:after="0" w:line="240" w:lineRule="auto"/>
        <w:ind w:left="259" w:hanging="144"/>
      </w:pPr>
      <w:r>
        <w:rPr>
          <w:sz w:val="17"/>
        </w:rPr>
        <w:t>• Presented findings at the DSI 2025 Annual Meeting and served as Session Chair for the Business Analytics session.</w:t>
      </w:r>
    </w:p>
    <w:p w14:paraId="6602467F" w14:textId="77777777" w:rsidR="00561CF1" w:rsidRDefault="00000000">
      <w:pPr>
        <w:pBdr>
          <w:bottom w:val="single" w:sz="8" w:space="1" w:color="7B4DFF"/>
        </w:pBdr>
        <w:spacing w:before="80" w:after="20" w:line="240" w:lineRule="auto"/>
      </w:pPr>
      <w:r>
        <w:rPr>
          <w:b/>
          <w:color w:val="46278C"/>
          <w:sz w:val="20"/>
        </w:rPr>
        <w:t>SKILLS</w:t>
      </w:r>
    </w:p>
    <w:p w14:paraId="00575886" w14:textId="77777777" w:rsidR="00561CF1" w:rsidRDefault="00000000">
      <w:pPr>
        <w:spacing w:after="0" w:line="240" w:lineRule="auto"/>
      </w:pPr>
      <w:r>
        <w:rPr>
          <w:b/>
          <w:sz w:val="17"/>
        </w:rPr>
        <w:t xml:space="preserve">Analytics &amp; Operations: </w:t>
      </w:r>
      <w:r>
        <w:rPr>
          <w:sz w:val="17"/>
        </w:rPr>
        <w:t>Business Reporting, GTM/Funnel Analysis, Customer Segmentation, A/B Testing, Root Cause Analysis, Process Improvement, Predictive Modeling, Financial Modeling</w:t>
      </w:r>
    </w:p>
    <w:p w14:paraId="31EBACC0" w14:textId="77777777" w:rsidR="00561CF1" w:rsidRDefault="00000000">
      <w:pPr>
        <w:spacing w:after="0" w:line="240" w:lineRule="auto"/>
      </w:pPr>
      <w:r>
        <w:rPr>
          <w:b/>
          <w:sz w:val="17"/>
        </w:rPr>
        <w:t xml:space="preserve">Tools: </w:t>
      </w:r>
      <w:r>
        <w:rPr>
          <w:sz w:val="17"/>
        </w:rPr>
        <w:t>Excel (Pivot Tables, VBA), SQL, Python (Pandas, NumPy, Scikit-learn, Matplotlib), Tableau, Power BI, GA4, Crunchbase, AWS</w:t>
      </w:r>
    </w:p>
    <w:p w14:paraId="394F11B3" w14:textId="77777777" w:rsidR="00561CF1" w:rsidRDefault="00000000">
      <w:pPr>
        <w:spacing w:after="0" w:line="240" w:lineRule="auto"/>
      </w:pPr>
      <w:r>
        <w:rPr>
          <w:b/>
          <w:sz w:val="17"/>
        </w:rPr>
        <w:t xml:space="preserve">AI &amp; Communication: </w:t>
      </w:r>
      <w:r>
        <w:rPr>
          <w:sz w:val="17"/>
        </w:rPr>
        <w:t>Applied Generative AI, AI-Assisted Analysis, Workflow Automation, Cross-Functional Presentation, English (Fluent), Mandarin (Native)</w:t>
      </w:r>
    </w:p>
    <w:sectPr w:rsidR="00561CF1"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1576895">
    <w:abstractNumId w:val="8"/>
  </w:num>
  <w:num w:numId="2" w16cid:durableId="1722365797">
    <w:abstractNumId w:val="6"/>
  </w:num>
  <w:num w:numId="3" w16cid:durableId="1888252515">
    <w:abstractNumId w:val="5"/>
  </w:num>
  <w:num w:numId="4" w16cid:durableId="1054349227">
    <w:abstractNumId w:val="4"/>
  </w:num>
  <w:num w:numId="5" w16cid:durableId="1481144912">
    <w:abstractNumId w:val="7"/>
  </w:num>
  <w:num w:numId="6" w16cid:durableId="648244153">
    <w:abstractNumId w:val="3"/>
  </w:num>
  <w:num w:numId="7" w16cid:durableId="1843275916">
    <w:abstractNumId w:val="2"/>
  </w:num>
  <w:num w:numId="8" w16cid:durableId="1639989365">
    <w:abstractNumId w:val="1"/>
  </w:num>
  <w:num w:numId="9" w16cid:durableId="56028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1CF1"/>
    <w:rsid w:val="00AA1D8D"/>
    <w:rsid w:val="00B47730"/>
    <w:rsid w:val="00BB5EC8"/>
    <w:rsid w:val="00CB0664"/>
    <w:rsid w:val="00D607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0B033"/>
  <w14:defaultImageDpi w14:val="300"/>
  <w15:docId w15:val="{4E139B98-E06E-8547-A814-D6235AD6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B5EC8"/>
    <w:rPr>
      <w:rFonts w:ascii="Arial" w:eastAsia="Arial" w:hAnsi="Arial"/>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a1"/>
    <w:pPr>
      <w:tabs>
        <w:tab w:val="num" w:pos="360"/>
      </w:tabs>
      <w:spacing w:after="0" w:line="240" w:lineRule="auto"/>
      <w:ind w:left="259" w:hanging="1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Zhengyu Zhou Resume - Datadog GTM Strategy Operations</dc:title>
  <dc:subject/>
  <dc:creator>Zhengyu Zhou</dc:creator>
  <cp:keywords/>
  <dc:description>generated by python-docx</dc:description>
  <cp:lastModifiedBy>Zhou, Zhengyu</cp:lastModifiedBy>
  <cp:revision>2</cp:revision>
  <dcterms:created xsi:type="dcterms:W3CDTF">2026-06-29T15:20:00Z</dcterms:created>
  <dcterms:modified xsi:type="dcterms:W3CDTF">2026-06-29T15:20:00Z</dcterms:modified>
  <cp:category/>
</cp:coreProperties>
</file>