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left"/>
      </w:pPr>
      <w:r>
        <w:rPr>
          <w:rFonts w:ascii="Calibri" w:hAnsi="Calibri" w:eastAsia="Yu Gothic" w:cs="Yu Gothic"/>
          <w:b/>
          <w:color w:val="1F4E79"/>
          <w:sz w:val="24"/>
        </w:rPr>
        <w:t>BREXA Technology</w:t>
      </w:r>
    </w:p>
    <w:p>
      <w:r>
        <w:rPr>
          <w:rFonts w:ascii="Calibri" w:hAnsi="Calibri" w:eastAsia="Yu Gothic" w:cs="Yu Gothic"/>
          <w:b w:val="0"/>
          <w:color w:val="5B6770"/>
          <w:sz w:val="22"/>
        </w:rPr>
        <w:t>標準ドキュメント枠組み</w:t>
      </w:r>
    </w:p>
    <w:p>
      <w:pPr>
        <w:spacing w:before="360"/>
      </w:pPr>
      <w:r>
        <w:rPr>
          <w:rFonts w:ascii="Calibri" w:hAnsi="Calibri" w:eastAsia="Yu Gothic" w:cs="Yu Gothic"/>
          <w:b/>
          <w:color w:val="1F4E79"/>
          <w:sz w:val="24"/>
        </w:rPr>
        <w:t>RXRA-PM-01</w:t>
      </w:r>
    </w:p>
    <w:p>
      <w:r>
        <w:rPr>
          <w:rFonts w:ascii="Calibri" w:hAnsi="Calibri" w:eastAsia="Yu Gothic" w:cs="Yu Gothic"/>
          <w:b/>
          <w:color w:val="12263A"/>
          <w:sz w:val="44"/>
        </w:rPr>
        <w:t>ドキュメント・プロジェクト管理</w:t>
      </w:r>
    </w:p>
    <w:p>
      <w:r>
        <w:rPr>
          <w:rFonts w:ascii="Calibri" w:hAnsi="Calibri" w:eastAsia="Yu Gothic" w:cs="Yu Gothic"/>
          <w:b w:val="0"/>
          <w:color w:val="334155"/>
          <w:sz w:val="24"/>
        </w:rPr>
        <w:t>Renesas RX71M / RA8P 組込みソフトウェアおよび PC ホスト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4"/>
      </w:tblGrid>
      <w:tr>
        <w:trPr>
          <w:tblHeader/>
        </w:trPr>
        <w:tc>
          <w:tcPr>
            <w:tcW w:type="dxa" w:w="238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97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文書番号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RXRA-PM-01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状態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0.1 ドラフト（枠組み）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発行日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2026-10-03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発注者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株式会社ベリサーブ（VeriServe Corporation）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受注者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株式会社BREXA Technology（BREXA Technology）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作成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受注者担当。署名欄は空欄とし、個人名は代筆しない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プロジェクト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Renesas RX71M / RA8P 組込みソフトウェア、HL1、PC ホスト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契約形態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記入。委託資料では派遣または準委任であり、本枠組みでは未選定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言語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日本語。中国語版と章番号を合わせ、一つのファイルに混ぜない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機密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関係者外秘</w:t>
            </w:r>
          </w:p>
        </w:tc>
      </w:tr>
    </w:tbl>
    <w:p>
      <w:pPr>
        <w:spacing w:after="40"/>
      </w:pPr>
    </w:p>
    <w:p>
      <w:r>
        <w:rPr>
          <w:rFonts w:ascii="Calibri" w:hAnsi="Calibri" w:eastAsia="Yu Gothic" w:cs="Yu Gothic"/>
          <w:b w:val="0"/>
          <w:sz w:val="21"/>
        </w:rPr>
        <w:t>本文書は発注者へ提出する章立ての枠組みである。リポジトリ内の Markdown は作業底稿である。「記入」とある欄はレビュー前に埋める。技術的結論は、本書の承認欄に署名されたあと、その主題の発行版とする。</w:t>
      </w:r>
    </w:p>
    <w:p>
      <w:pPr>
        <w:pStyle w:val="Heading1"/>
      </w:pPr>
      <w:r>
        <w:t>改訂履歴</w:t>
      </w:r>
    </w:p>
    <w:p>
      <w:pPr>
        <w:spacing w:before="40" w:after="160"/>
        <w:shd w:val="clear" w:color="auto" w:fill="E8EEF4"/>
      </w:pPr>
      <w:r>
        <w:rPr>
          <w:rFonts w:ascii="Calibri" w:hAnsi="Calibri" w:eastAsia="Yu Gothic" w:cs="Yu Gothic"/>
          <w:b w:val="0"/>
          <w:color w:val="1F4E79"/>
          <w:sz w:val="18"/>
        </w:rPr>
        <w:t>発行済みの行は消さない。行を追加する。承認後の版は 1.0 からとする。枠組みのあいだは 0.x を使う。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474"/>
        <w:gridCol w:w="2041"/>
        <w:gridCol w:w="3288"/>
        <w:gridCol w:w="1417"/>
      </w:tblGrid>
      <w:tr>
        <w:trPr>
          <w:tblHeader/>
        </w:trPr>
        <w:tc>
          <w:tcPr>
            <w:tcW w:type="dxa" w:w="113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版</w:t>
            </w:r>
          </w:p>
        </w:tc>
        <w:tc>
          <w:tcPr>
            <w:tcW w:type="dxa" w:w="147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204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作成</w:t>
            </w:r>
          </w:p>
        </w:tc>
        <w:tc>
          <w:tcPr>
            <w:tcW w:type="dxa" w:w="328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変更内容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発注者確認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0.1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2026-10-03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BREXA Technology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標準枠組みを作成。技術本文は未承認。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未確認</w:t>
            </w:r>
          </w:p>
        </w:tc>
      </w:tr>
      <w:tr>
        <w:tc>
          <w:tcPr>
            <w:tcW w:type="dxa" w:w="113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328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41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目次</w:t>
      </w:r>
    </w:p>
    <w:p>
      <w:r>
        <w:fldChar w:fldCharType="begin"/>
        <w:instrText xml:space="preserve"> TOC \o "1-2" \h \z \u </w:instrText>
        <w:fldChar w:fldCharType="separate"/>
      </w:r>
      <w:r>
        <w:rPr>
          <w:rFonts w:ascii="Calibri" w:hAnsi="Calibri" w:eastAsia="Yu Gothic" w:cs="Yu Gothic"/>
          <w:b w:val="0"/>
          <w:color w:val="5B6770"/>
          <w:sz w:val="21"/>
        </w:rPr>
        <w:t>開いたときに Word がフィールドの更新を尋ねたら、更新する。目次を右クリックしてフィールドの更新を選んでもよい。</w:t>
      </w:r>
      <w:r>
        <w:fldChar w:fldCharType="end"/>
      </w:r>
    </w:p>
    <w:p>
      <w:pPr>
        <w:pStyle w:val="Heading1"/>
      </w:pPr>
      <w:r>
        <w:t>1. 目的</w:t>
      </w:r>
    </w:p>
    <w:p>
      <w:r>
        <w:rPr>
          <w:rFonts w:ascii="Calibri" w:hAnsi="Calibri" w:eastAsia="Yu Gothic" w:cs="Yu Gothic"/>
          <w:b w:val="0"/>
          <w:sz w:val="21"/>
        </w:rPr>
        <w:t>本文書は、発注者へ出す文書をどう作り、レビューし、発行し、廃止するかを定める。あわせて、受注者が範囲、進捗、課題、変更、品質をどう報告するかを定める。要求分析と試験記録の代わりにはしない。</w:t>
      </w:r>
    </w:p>
    <w:p>
      <w:pPr>
        <w:pStyle w:val="Heading1"/>
      </w:pPr>
      <w:r>
        <w:t>2. 文書体系</w:t>
      </w:r>
    </w:p>
    <w:p>
      <w:pPr>
        <w:pStyle w:val="Heading2"/>
      </w:pPr>
      <w:r>
        <w:t>2.1 発注者向けの正式文書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948"/>
        <w:gridCol w:w="4592"/>
      </w:tblGrid>
      <w:tr>
        <w:trPr>
          <w:tblHeader/>
        </w:trPr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番号</w:t>
            </w:r>
          </w:p>
        </w:tc>
        <w:tc>
          <w:tcPr>
            <w:tcW w:type="dxa" w:w="294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文書</w:t>
            </w:r>
          </w:p>
        </w:tc>
        <w:tc>
          <w:tcPr>
            <w:tcW w:type="dxa" w:w="4592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答える問い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RXRA-BD-01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要求分析・基本設計</w:t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何を、どの層まで行い、どれを正とするか</w:t>
            </w:r>
          </w:p>
        </w:tc>
      </w:tr>
      <w:tr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RXRA-IT-01</w:t>
            </w:r>
          </w:p>
        </w:tc>
        <w:tc>
          <w:tcPr>
            <w:tcW w:type="dxa" w:w="294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結合テスト・検証</w:t>
            </w:r>
          </w:p>
        </w:tc>
        <w:tc>
          <w:tcPr>
            <w:tcW w:type="dxa" w:w="459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どう証明し、証跡はどこにあり、受入れできるか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RXRA-PM-01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本文書</w:t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文書とプロジェクトをどう管理するか</w:t>
            </w:r>
          </w:p>
        </w:tc>
      </w:tr>
    </w:tbl>
    <w:p>
      <w:pPr>
        <w:spacing w:after="40"/>
      </w:pPr>
    </w:p>
    <w:p>
      <w:r>
        <w:rPr>
          <w:rFonts w:ascii="Calibri" w:hAnsi="Calibri" w:eastAsia="Yu Gothic" w:cs="Yu Gothic"/>
          <w:b w:val="0"/>
          <w:sz w:val="21"/>
        </w:rPr>
        <w:t>三文書は中国語と日本語で章番号を揃える。正式発行では二言語を一緒に出す。一方だけを更新したときは、他方を未同期と書き、発行版にしない。</w:t>
      </w:r>
    </w:p>
    <w:p>
      <w:pPr>
        <w:pStyle w:val="Heading2"/>
      </w:pPr>
      <w:r>
        <w:t>2.2 作業底稿</w:t>
      </w:r>
    </w:p>
    <w:p>
      <w:pPr>
        <w:spacing w:before="40" w:after="160"/>
        <w:shd w:val="clear" w:color="auto" w:fill="E8EEF4"/>
      </w:pPr>
      <w:r>
        <w:rPr>
          <w:rFonts w:ascii="Calibri" w:hAnsi="Calibri" w:eastAsia="Yu Gothic" w:cs="Yu Gothic"/>
          <w:b w:val="0"/>
          <w:color w:val="1F4E79"/>
          <w:sz w:val="18"/>
        </w:rPr>
        <w:t>底稿は正式文書より先に更新してよい。底稿と承認済み正式文書が衝突したときは正式文書を正とし、直ちに課題を切る。正式文書が未承認のあいだは、改訂履歴の日付が新しい底稿を正とする。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3855"/>
        <w:gridCol w:w="1530"/>
      </w:tblGrid>
      <w:tr>
        <w:trPr>
          <w:tblHeader/>
        </w:trPr>
        <w:tc>
          <w:tcPr>
            <w:tcW w:type="dxa" w:w="3969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底稿</w:t>
            </w:r>
          </w:p>
        </w:tc>
        <w:tc>
          <w:tcPr>
            <w:tcW w:type="dxa" w:w="385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将来入る先</w:t>
            </w:r>
          </w:p>
        </w:tc>
        <w:tc>
          <w:tcPr>
            <w:tcW w:type="dxa" w:w="1530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言語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embedded_system_requirements の日中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RXRA-BD-01 第 6 章への入力</w:t>
            </w:r>
          </w:p>
        </w:tc>
        <w:tc>
          <w:tcPr>
            <w:tcW w:type="dxa" w:w="153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各一ファイル</w:t>
            </w:r>
          </w:p>
        </w:tc>
      </w:tr>
      <w:tr>
        <w:tc>
          <w:tcPr>
            <w:tcW w:type="dxa" w:w="3969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software_architecture の日中</w:t>
            </w:r>
          </w:p>
        </w:tc>
        <w:tc>
          <w:tcPr>
            <w:tcW w:type="dxa" w:w="385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RXRA-BD-01 第 7 章</w:t>
            </w:r>
          </w:p>
        </w:tc>
        <w:tc>
          <w:tcPr>
            <w:tcW w:type="dxa" w:w="153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各一ファイル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host_link_protocol の日中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インタフェース詳細仕様のまま。BD が索引する</w:t>
            </w:r>
          </w:p>
        </w:tc>
        <w:tc>
          <w:tcPr>
            <w:tcW w:type="dxa" w:w="153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各一ファイル</w:t>
            </w:r>
          </w:p>
        </w:tc>
      </w:tr>
      <w:tr>
        <w:tc>
          <w:tcPr>
            <w:tcW w:type="dxa" w:w="3969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protocol_change_workflow.md</w:t>
            </w:r>
          </w:p>
        </w:tc>
        <w:tc>
          <w:tcPr>
            <w:tcW w:type="dxa" w:w="385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プロトコル変更手続き。発行前に正式付録へ上げるか決める</w:t>
            </w:r>
          </w:p>
        </w:tc>
        <w:tc>
          <w:tcPr>
            <w:tcW w:type="dxa" w:w="153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中国語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system_test_design の日中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RXRA-IT-01 のケース底稿</w:t>
            </w:r>
          </w:p>
        </w:tc>
        <w:tc>
          <w:tcPr>
            <w:tcW w:type="dxa" w:w="153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各一ファイル</w:t>
            </w:r>
          </w:p>
        </w:tc>
      </w:tr>
      <w:tr>
        <w:tc>
          <w:tcPr>
            <w:tcW w:type="dxa" w:w="3969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workspace_layout.md、mcu_resource_map.md</w:t>
            </w:r>
          </w:p>
        </w:tc>
        <w:tc>
          <w:tcPr>
            <w:tcW w:type="dxa" w:w="385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資源とディレクトリ。発行前に和訳するかを決める</w:t>
            </w:r>
          </w:p>
        </w:tc>
        <w:tc>
          <w:tcPr>
            <w:tcW w:type="dxa" w:w="153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中国語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firmware_image_and_renesas_lineup.md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イメージ成果物の説明。契約納品とはみなさない</w:t>
            </w:r>
          </w:p>
        </w:tc>
        <w:tc>
          <w:tcPr>
            <w:tcW w:type="dxa" w:w="153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中国語</w:t>
            </w:r>
          </w:p>
        </w:tc>
      </w:tr>
      <w:tr>
        <w:tc>
          <w:tcPr>
            <w:tcW w:type="dxa" w:w="3969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project_backlog の日中、project_backlog_effort、工数估算.xlsx、工数見積.xlsx</w:t>
            </w:r>
          </w:p>
        </w:tc>
        <w:tc>
          <w:tcPr>
            <w:tcW w:type="dxa" w:w="385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進捗と工数の作業値。契約工数は発注者確認欄を正とする</w:t>
            </w:r>
          </w:p>
        </w:tc>
        <w:tc>
          <w:tcPr>
            <w:tcW w:type="dxa" w:w="153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表に記載</w:t>
            </w:r>
          </w:p>
        </w:tc>
      </w:tr>
    </w:tbl>
    <w:p>
      <w:pPr>
        <w:spacing w:after="40"/>
      </w:pPr>
    </w:p>
    <w:p>
      <w:pPr>
        <w:pStyle w:val="Heading2"/>
      </w:pPr>
      <w:r>
        <w:t>2.3 仕様にしないもの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ビルドディレクトリ、ci/out、個人メモ、改訂履歴にない会話の結論。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ベンダ生成ツリーの注釈。受注者の設計説明ではない。</w:t>
      </w:r>
    </w:p>
    <w:p>
      <w:pPr>
        <w:pStyle w:val="Heading1"/>
      </w:pPr>
      <w:r>
        <w:t>3. 文書管理</w:t>
      </w:r>
    </w:p>
    <w:p>
      <w:pPr>
        <w:pStyle w:val="Heading2"/>
      </w:pPr>
      <w:r>
        <w:t>3.1 状態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536"/>
        <w:gridCol w:w="3005"/>
      </w:tblGrid>
      <w:tr>
        <w:trPr>
          <w:tblHeader/>
        </w:trPr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状態</w:t>
            </w:r>
          </w:p>
        </w:tc>
        <w:tc>
          <w:tcPr>
            <w:tcW w:type="dxa" w:w="4536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意味</w:t>
            </w:r>
          </w:p>
        </w:tc>
        <w:tc>
          <w:tcPr>
            <w:tcW w:type="dxa" w:w="300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誰が宣言できるか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0.x ドラフト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枠組みまたは記入中。受入れの根拠にできない</w:t>
            </w:r>
          </w:p>
        </w:tc>
        <w:tc>
          <w:tcPr>
            <w:tcW w:type="dxa" w:w="300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受注者の作成者</w:t>
            </w:r>
          </w:p>
        </w:tc>
      </w:tr>
      <w:tr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レビュー中</w:t>
            </w:r>
          </w:p>
        </w:tc>
        <w:tc>
          <w:tcPr>
            <w:tcW w:type="dxa" w:w="4536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発注者へ出し、結論が戻っていない</w:t>
            </w:r>
          </w:p>
        </w:tc>
        <w:tc>
          <w:tcPr>
            <w:tcW w:type="dxa" w:w="300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受注者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承認済み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承認欄が揃った 1.x</w:t>
            </w:r>
          </w:p>
        </w:tc>
        <w:tc>
          <w:tcPr>
            <w:tcW w:type="dxa" w:w="300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発注者</w:t>
            </w:r>
          </w:p>
        </w:tc>
      </w:tr>
      <w:tr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廃止</w:t>
            </w:r>
          </w:p>
        </w:tc>
        <w:tc>
          <w:tcPr>
            <w:tcW w:type="dxa" w:w="4536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新版に置き換わる。旧版は残すが使わない</w:t>
            </w:r>
          </w:p>
        </w:tc>
        <w:tc>
          <w:tcPr>
            <w:tcW w:type="dxa" w:w="300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発注者が廃止記録を承認</w:t>
            </w:r>
          </w:p>
        </w:tc>
      </w:tr>
    </w:tbl>
    <w:p>
      <w:pPr>
        <w:spacing w:after="40"/>
      </w:pPr>
    </w:p>
    <w:p>
      <w:pPr>
        <w:pStyle w:val="Heading2"/>
      </w:pPr>
      <w:r>
        <w:t>3.2 手続き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作成者は改訂履歴を記入する。レビュー意見を、記録のない本文修正にしない。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技術レビューは受注者内で終えてから発注者へ出す。提出物には日中二ファイルと、底稿との差分説明を含める。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発注者の意見は五営業日で処理するか、課題へ移す。契約に別の期限があればそれに合わせ、本条を改める。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承認後のファイル名は文書番号と版を残す。旧ファイルの実体を上書きしない。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保管場所：（記入。発注者指定の共有ディレクトリを推奨する。リポジトリの doc は作業底稿と、提出済み副本に限る）。</w:t>
      </w:r>
    </w:p>
    <w:p>
      <w:pPr>
        <w:pStyle w:val="Heading2"/>
      </w:pPr>
      <w:r>
        <w:t>3.3 識別</w:t>
      </w:r>
    </w:p>
    <w:p>
      <w:r>
        <w:rPr>
          <w:rFonts w:ascii="Calibri" w:hAnsi="Calibri" w:eastAsia="Yu Gothic" w:cs="Yu Gothic"/>
          <w:b w:val="0"/>
          <w:sz w:val="21"/>
        </w:rPr>
        <w:t>正式な Word の番号は RXRA-文書種別-二桁とする。ヘッダに番号と題名、フッタに関係者外秘、双方の組織名、ページ番号を置く。図と表には番号を付ける。底稿から貼るときは、内部でしか意味のないパスを消すか、発注者も開ける相対位置へ改める。</w:t>
      </w:r>
    </w:p>
    <w:p>
      <w:pPr>
        <w:pStyle w:val="Heading1"/>
      </w:pPr>
      <w:r>
        <w:t>4. 言語と形式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発注者向けの叙述文書は Word とする。中国語が一通、日本語が一通。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プロトコルのフィールド、コマンド文字列、ソースの識別子は原文のままとし、別の意味へ訳さない。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日付は YYYY-MM-DD。工数は人日。1 人日は 8 時間、1 人月は 20 人日。契約と違う場合は契約を正とし、本条を改める。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ファイルの符号化とリポジトリのテキストは UTF-8 とする。</w:t>
      </w:r>
    </w:p>
    <w:p>
      <w:pPr>
        <w:pStyle w:val="Heading1"/>
      </w:pPr>
      <w:r>
        <w:t>5. 構成管理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7427"/>
      </w:tblGrid>
      <w:tr>
        <w:trPr>
          <w:tblHeader/>
        </w:trPr>
        <w:tc>
          <w:tcPr>
            <w:tcW w:type="dxa" w:w="192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項</w:t>
            </w:r>
          </w:p>
        </w:tc>
        <w:tc>
          <w:tcPr>
            <w:tcW w:type="dxa" w:w="742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規則</w:t>
            </w:r>
          </w:p>
        </w:tc>
      </w:tr>
      <w:tr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仕様とソース</w:t>
            </w:r>
          </w:p>
        </w:tc>
        <w:tc>
          <w:tcPr>
            <w:tcW w:type="dxa" w:w="74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同一の Git リポジトリ。発行ビルドはブランチとコミット識別子を記録する</w:t>
            </w:r>
          </w:p>
        </w:tc>
      </w:tr>
      <w:tr>
        <w:tc>
          <w:tcPr>
            <w:tcW w:type="dxa" w:w="19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生成物</w:t>
            </w:r>
          </w:p>
        </w:tc>
        <w:tc>
          <w:tcPr>
            <w:tcW w:type="dxa" w:w="74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Debug / Release の elf、mot または srec、hex、bin を CI の規則で集める。ビルドディレクトリ全体を仕様にしない</w:t>
            </w:r>
          </w:p>
        </w:tc>
      </w:tr>
      <w:tr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秘密</w:t>
            </w:r>
          </w:p>
        </w:tc>
        <w:tc>
          <w:tcPr>
            <w:tcW w:type="dxa" w:w="74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パスワード、鍵、私用アカウントは入れない</w:t>
            </w:r>
          </w:p>
        </w:tc>
      </w:tr>
      <w:tr>
        <w:tc>
          <w:tcPr>
            <w:tcW w:type="dxa" w:w="19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ベンダツリー</w:t>
            </w:r>
          </w:p>
        </w:tc>
        <w:tc>
          <w:tcPr>
            <w:tcW w:type="dxa" w:w="74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FSP、FreeRTOS、Smart Configurator の生成物をその場で直さない。直すときは課題に理由を書く</w:t>
            </w:r>
          </w:p>
        </w:tc>
      </w:tr>
      <w:tr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ベースライン</w:t>
            </w:r>
          </w:p>
        </w:tc>
        <w:tc>
          <w:tcPr>
            <w:tcW w:type="dxa" w:w="74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発注者が BD を承認したときのコミットを設計ベースラインとする。その後の振舞いの変化は変更で扱う</w:t>
            </w:r>
          </w:p>
        </w:tc>
      </w:tr>
    </w:tbl>
    <w:p>
      <w:pPr>
        <w:spacing w:after="40"/>
      </w:pPr>
    </w:p>
    <w:p>
      <w:pPr>
        <w:pStyle w:val="Heading1"/>
      </w:pPr>
      <w:r>
        <w:t>6. プロジェクト範囲</w:t>
      </w:r>
    </w:p>
    <w:p>
      <w:r>
        <w:rPr>
          <w:rFonts w:ascii="Calibri" w:hAnsi="Calibri" w:eastAsia="Yu Gothic" w:cs="Yu Gothic"/>
          <w:b w:val="0"/>
          <w:sz w:val="21"/>
        </w:rPr>
        <w:t>範囲は承認済みの RXRA-BD-01 を正とする。BD の承認前は、委託資料と、双方が書面で確認した仮定が作業範囲である。口頭で増えた機能は先に変更票へ書き、反復の約束へ直接入れない。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633"/>
      </w:tblGrid>
      <w:tr>
        <w:trPr>
          <w:tblHeader/>
        </w:trPr>
        <w:tc>
          <w:tcPr>
            <w:tcW w:type="dxa" w:w="272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欄</w:t>
            </w:r>
          </w:p>
        </w:tc>
        <w:tc>
          <w:tcPr>
            <w:tcW w:type="dxa" w:w="6633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この段階に含むもの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  <w:tr>
        <w:tc>
          <w:tcPr>
            <w:tcW w:type="dxa" w:w="272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この段階に含まないもの</w:t>
            </w:r>
          </w:p>
        </w:tc>
        <w:tc>
          <w:tcPr>
            <w:tcW w:type="dxa" w:w="6633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発注者の提供物に依存するもの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実機、ツール、未決事項への回答、受入れ担当</w:t>
            </w:r>
          </w:p>
        </w:tc>
      </w:tr>
      <w:tr>
        <w:tc>
          <w:tcPr>
            <w:tcW w:type="dxa" w:w="272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現行の作業仮定の場所</w:t>
            </w:r>
          </w:p>
        </w:tc>
        <w:tc>
          <w:tcPr>
            <w:tcW w:type="dxa" w:w="6633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project_backlog 第 1 節。承認前は仮定にすぎない</w:t>
            </w:r>
          </w:p>
        </w:tc>
      </w:tr>
    </w:tbl>
    <w:p>
      <w:pPr>
        <w:spacing w:after="40"/>
      </w:pPr>
    </w:p>
    <w:p>
      <w:pPr>
        <w:pStyle w:val="Heading1"/>
      </w:pPr>
      <w:r>
        <w:t>7. 体制</w:t>
      </w:r>
    </w:p>
    <w:p>
      <w:pPr>
        <w:pStyle w:val="Heading2"/>
      </w:pPr>
      <w:r>
        <w:t>責任分界</w:t>
      </w:r>
    </w:p>
    <w:p>
      <w:pPr>
        <w:spacing w:before="40" w:after="160"/>
        <w:shd w:val="clear" w:color="auto" w:fill="E8EEF4"/>
      </w:pPr>
      <w:r>
        <w:rPr>
          <w:rFonts w:ascii="Calibri" w:hAnsi="Calibri" w:eastAsia="Yu Gothic" w:cs="Yu Gothic"/>
          <w:b w:val="0"/>
          <w:color w:val="1F4E79"/>
          <w:sz w:val="18"/>
        </w:rPr>
        <w:t>契約が派遣の場合、指揮命令は発注者にある。下表は発注者の指揮下の作業分担へ改め、変更欄に記録する。準委任の場合、受注者は成果に責任を持ち、発注者は要求と受入れに責任を持つ。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515"/>
        <w:gridCol w:w="3572"/>
      </w:tblGrid>
      <w:tr>
        <w:trPr>
          <w:tblHeader/>
        </w:trPr>
        <w:tc>
          <w:tcPr>
            <w:tcW w:type="dxa" w:w="226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活動</w:t>
            </w:r>
          </w:p>
        </w:tc>
        <w:tc>
          <w:tcPr>
            <w:tcW w:type="dxa" w:w="351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発注者 株式会社ベリサーブ</w:t>
            </w:r>
          </w:p>
        </w:tc>
        <w:tc>
          <w:tcPr>
            <w:tcW w:type="dxa" w:w="3572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受注者 BREXA Technology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要求の提示と優先順位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提示、確認、変更の承認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追跡できる要求項目へ整理する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基本設計</w:t>
            </w:r>
          </w:p>
        </w:tc>
        <w:tc>
          <w:tcPr>
            <w:tcW w:type="dxa" w:w="351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レビュー、承認</w:t>
            </w:r>
          </w:p>
        </w:tc>
        <w:tc>
          <w:tcPr>
            <w:tcW w:type="dxa" w:w="357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モジュール、インタフェース、資源見積りまで作成する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実装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範囲が広がっていないことを確認する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コーディング、ビルド、ウォッチドッグとプロトコルの実装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結合テストと検証</w:t>
            </w:r>
          </w:p>
        </w:tc>
        <w:tc>
          <w:tcPr>
            <w:tcW w:type="dxa" w:w="351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立会い、証跡の受領、受入れ判定</w:t>
            </w:r>
          </w:p>
        </w:tc>
        <w:tc>
          <w:tcPr>
            <w:tcW w:type="dxa" w:w="357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ケース設計、実施、記録、不具合修正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文書の発行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発行版を承認する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版管理。中国語と日本語を対で更新する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実機、シリアル、CAN ツール</w:t>
            </w:r>
          </w:p>
        </w:tc>
        <w:tc>
          <w:tcPr>
            <w:tcW w:type="dxa" w:w="351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提供するか、誰が準備するかを書面で確認する</w:t>
            </w:r>
          </w:p>
        </w:tc>
        <w:tc>
          <w:tcPr>
            <w:tcW w:type="dxa" w:w="357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ツール一覧を出し、確認前に保有を前提にしない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進捗と課題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報告を受け、未決事項へ回答する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RXRA-PM-01 に従って報告する</w:t>
            </w:r>
          </w:p>
        </w:tc>
      </w:tr>
    </w:tbl>
    <w:p>
      <w:pPr>
        <w:spacing w:after="40"/>
      </w:pPr>
    </w:p>
    <w:p>
      <w:pPr>
        <w:pStyle w:val="Heading2"/>
      </w:pPr>
      <w:r>
        <w:t>7.1 名義</w:t>
      </w:r>
    </w:p>
    <w:p>
      <w:r>
        <w:rPr>
          <w:rFonts w:ascii="Calibri" w:hAnsi="Calibri" w:eastAsia="Yu Gothic" w:cs="Yu Gothic"/>
          <w:b w:val="0"/>
          <w:sz w:val="21"/>
        </w:rPr>
        <w:t>対外的な名義は組織であり、個人メールの表示名ではない。受注者の窓口と発注者の窓口を下表に記入する。人が替わったら表を改め、相手へ知らせる。発行済み記録の歴史上の氏名は遡って書き換えない。</w:t>
      </w:r>
    </w:p>
    <w:tbl>
      <w:tblPr>
        <w:tblW w:type="dxa" w:w="9353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154"/>
        <w:gridCol w:w="1587"/>
        <w:gridCol w:w="1814"/>
        <w:gridCol w:w="1530"/>
      </w:tblGrid>
      <w:tr>
        <w:trPr>
          <w:tblHeader/>
        </w:trPr>
        <w:tc>
          <w:tcPr>
            <w:tcW w:type="dxa" w:w="226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窓口</w:t>
            </w:r>
          </w:p>
        </w:tc>
        <w:tc>
          <w:tcPr>
            <w:tcW w:type="dxa" w:w="215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組織</w:t>
            </w:r>
          </w:p>
        </w:tc>
        <w:tc>
          <w:tcPr>
            <w:tcW w:type="dxa" w:w="158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氏名</w:t>
            </w:r>
          </w:p>
        </w:tc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連絡先</w:t>
            </w:r>
          </w:p>
        </w:tc>
        <w:tc>
          <w:tcPr>
            <w:tcW w:type="dxa" w:w="1530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代行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発注者プロジェクト窓口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株式会社ベリサーブ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53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発注者の受入れ窓口</w:t>
            </w:r>
          </w:p>
        </w:tc>
        <w:tc>
          <w:tcPr>
            <w:tcW w:type="dxa" w:w="215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株式会社ベリサーブ</w:t>
            </w:r>
          </w:p>
        </w:tc>
        <w:tc>
          <w:tcPr>
            <w:tcW w:type="dxa" w:w="15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53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受注者プロジェクト窓口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BREXA Technology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53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受注者技術窓口</w:t>
            </w:r>
          </w:p>
        </w:tc>
        <w:tc>
          <w:tcPr>
            <w:tcW w:type="dxa" w:w="215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BREXA Technology</w:t>
            </w:r>
          </w:p>
        </w:tc>
        <w:tc>
          <w:tcPr>
            <w:tcW w:type="dxa" w:w="15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53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</w:tbl>
    <w:p>
      <w:pPr>
        <w:spacing w:after="40"/>
      </w:pPr>
    </w:p>
    <w:p>
      <w:pPr>
        <w:pStyle w:val="Heading1"/>
      </w:pPr>
      <w:r>
        <w:t>8. 日程と工数</w:t>
      </w:r>
    </w:p>
    <w:p>
      <w:pPr>
        <w:spacing w:before="40" w:after="160"/>
        <w:shd w:val="clear" w:color="auto" w:fill="E8EEF4"/>
      </w:pPr>
      <w:r>
        <w:rPr>
          <w:rFonts w:ascii="Calibri" w:hAnsi="Calibri" w:eastAsia="Yu Gothic" w:cs="Yu Gothic"/>
          <w:b w:val="0"/>
          <w:color w:val="1F4E79"/>
          <w:sz w:val="18"/>
        </w:rPr>
        <w:t>下表の暦と人数は作業見積りの欄である。発注者の書面確認の前は、契約工期でも見積金額の約束でもない。確認後は、確認日を改訂履歴へ書く。139 と 240 の算法、各 story の根拠、初期のおよそ 8.4〜13.3 人月との対照は、project_backlog_ja.md の第 8 節に書く。本枠組みは別の工数を計算しない。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876"/>
        <w:gridCol w:w="2438"/>
      </w:tblGrid>
      <w:tr>
        <w:trPr>
          <w:tblHeader/>
        </w:trPr>
        <w:tc>
          <w:tcPr>
            <w:tcW w:type="dxa" w:w="204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項</w:t>
            </w:r>
          </w:p>
        </w:tc>
        <w:tc>
          <w:tcPr>
            <w:tcW w:type="dxa" w:w="4876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作業見積り</w:t>
            </w:r>
          </w:p>
        </w:tc>
        <w:tc>
          <w:tcPr>
            <w:tcW w:type="dxa" w:w="243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発注者の確認値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開始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委託資料は 2026-11。作業計画の月曜は 2026-11-02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  <w:tr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反復の長さ</w:t>
            </w:r>
          </w:p>
        </w:tc>
        <w:tc>
          <w:tcPr>
            <w:tcW w:type="dxa" w:w="4876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2 週間</w:t>
            </w:r>
          </w:p>
        </w:tc>
        <w:tc>
          <w:tcPr>
            <w:tcW w:type="dxa" w:w="243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一人のときの反復負荷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管理 2 人日、開発 6 人日、共通費 2 人日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  <w:tr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三人のときの負荷</w:t>
            </w:r>
          </w:p>
        </w:tc>
        <w:tc>
          <w:tcPr>
            <w:tcW w:type="dxa" w:w="4876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A は管理 3、開発 5、共通 2。B と C は各開発 8、共通 2。A が一人構成のときの実施者である</w:t>
            </w:r>
          </w:p>
        </w:tc>
        <w:tc>
          <w:tcPr>
            <w:tcW w:type="dxa" w:w="243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ストーリーの作業量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139 人日。project_backlog を参照。人数は暦を変え、同じ作業を人数倍しない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  <w:tr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システム試験の底稿</w:t>
            </w:r>
          </w:p>
        </w:tc>
        <w:tc>
          <w:tcPr>
            <w:tcW w:type="dxa" w:w="4876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18.5 人日。system_test_design を参照。ウォッチドッグ二項目は回帰の余裕から出す</w:t>
            </w:r>
          </w:p>
        </w:tc>
        <w:tc>
          <w:tcPr>
            <w:tcW w:type="dxa" w:w="243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見積りの口径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人数 × 反復数 × 10 人日。確認前に本枠組みへ金額を固定しない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</w:tbl>
    <w:p>
      <w:pPr>
        <w:spacing w:after="40"/>
      </w:pPr>
    </w:p>
    <w:p>
      <w:pPr>
        <w:pStyle w:val="Heading2"/>
      </w:pPr>
      <w:r>
        <w:t>8.1 進捗の状態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7427"/>
      </w:tblGrid>
      <w:tr>
        <w:trPr>
          <w:tblHeader/>
        </w:trPr>
        <w:tc>
          <w:tcPr>
            <w:tcW w:type="dxa" w:w="192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状態</w:t>
            </w:r>
          </w:p>
        </w:tc>
        <w:tc>
          <w:tcPr>
            <w:tcW w:type="dxa" w:w="742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意味</w:t>
            </w:r>
          </w:p>
        </w:tc>
      </w:tr>
      <w:tr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未着手</w:t>
            </w:r>
          </w:p>
        </w:tc>
        <w:tc>
          <w:tcPr>
            <w:tcW w:type="dxa" w:w="74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前提が満たされていない</w:t>
            </w:r>
          </w:p>
        </w:tc>
      </w:tr>
      <w:tr>
        <w:tc>
          <w:tcPr>
            <w:tcW w:type="dxa" w:w="19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進行中</w:t>
            </w:r>
          </w:p>
        </w:tc>
        <w:tc>
          <w:tcPr>
            <w:tcW w:type="dxa" w:w="74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この反復で約束した作業</w:t>
            </w:r>
          </w:p>
        </w:tc>
      </w:tr>
      <w:tr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完了</w:t>
            </w:r>
          </w:p>
        </w:tc>
        <w:tc>
          <w:tcPr>
            <w:tcW w:type="dxa" w:w="74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そのストーリーの完了条件が満たされ、記録がある</w:t>
            </w:r>
          </w:p>
        </w:tc>
      </w:tr>
      <w:tr>
        <w:tc>
          <w:tcPr>
            <w:tcW w:type="dxa" w:w="19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ブロック</w:t>
            </w:r>
          </w:p>
        </w:tc>
        <w:tc>
          <w:tcPr>
            <w:tcW w:type="dxa" w:w="74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発注者、実機、または不具合を待つ。番号を書く</w:t>
            </w:r>
          </w:p>
        </w:tc>
      </w:tr>
      <w:tr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対象外へ移動</w:t>
            </w:r>
          </w:p>
        </w:tc>
        <w:tc>
          <w:tcPr>
            <w:tcW w:type="dxa" w:w="74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変更票によりこの段階から出す</w:t>
            </w:r>
          </w:p>
        </w:tc>
      </w:tr>
    </w:tbl>
    <w:p>
      <w:pPr>
        <w:spacing w:after="40"/>
      </w:pPr>
    </w:p>
    <w:p>
      <w:pPr>
        <w:pStyle w:val="Heading1"/>
      </w:pPr>
      <w:r>
        <w:t>9. コミュニケーション</w:t>
      </w:r>
    </w:p>
    <w:tbl>
      <w:tblPr>
        <w:tblW w:type="dxa" w:w="9353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2381"/>
        <w:gridCol w:w="2154"/>
        <w:gridCol w:w="2891"/>
      </w:tblGrid>
      <w:tr>
        <w:trPr>
          <w:tblHeader/>
        </w:trPr>
        <w:tc>
          <w:tcPr>
            <w:tcW w:type="dxa" w:w="192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場</w:t>
            </w:r>
          </w:p>
        </w:tc>
        <w:tc>
          <w:tcPr>
            <w:tcW w:type="dxa" w:w="238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頻度</w:t>
            </w:r>
          </w:p>
        </w:tc>
        <w:tc>
          <w:tcPr>
            <w:tcW w:type="dxa" w:w="215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参加者</w:t>
            </w:r>
          </w:p>
        </w:tc>
        <w:tc>
          <w:tcPr>
            <w:tcW w:type="dxa" w:w="289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何を残すか</w:t>
            </w:r>
          </w:p>
        </w:tc>
      </w:tr>
      <w:tr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進捗定例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（記入。週一回を推奨）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双方の窓口</w:t>
            </w:r>
          </w:p>
        </w:tc>
        <w:tc>
          <w:tcPr>
            <w:tcW w:type="dxa" w:w="289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決定、未決、次回の日付</w:t>
            </w:r>
          </w:p>
        </w:tc>
      </w:tr>
      <w:tr>
        <w:tc>
          <w:tcPr>
            <w:tcW w:type="dxa" w:w="19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技術の問い合わせ</w:t>
            </w:r>
          </w:p>
        </w:tc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発生時</w:t>
            </w:r>
          </w:p>
        </w:tc>
        <w:tc>
          <w:tcPr>
            <w:tcW w:type="dxa" w:w="215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技術窓口</w:t>
            </w:r>
          </w:p>
        </w:tc>
        <w:tc>
          <w:tcPr>
            <w:tcW w:type="dxa" w:w="289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要求に影響する回答は Q または変更票へ書く</w:t>
            </w:r>
          </w:p>
        </w:tc>
      </w:tr>
      <w:tr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レビュー会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正式文書を出すたび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レビュー欄の役割</w:t>
            </w:r>
          </w:p>
        </w:tc>
        <w:tc>
          <w:tcPr>
            <w:tcW w:type="dxa" w:w="289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指摘一覧とクローズ結果</w:t>
            </w:r>
          </w:p>
        </w:tc>
      </w:tr>
      <w:tr>
        <w:tc>
          <w:tcPr>
            <w:tcW w:type="dxa" w:w="19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エスカレーション</w:t>
            </w:r>
          </w:p>
        </w:tc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窓口が五営業日で決められないとき</w:t>
            </w:r>
          </w:p>
        </w:tc>
        <w:tc>
          <w:tcPr>
            <w:tcW w:type="dxa" w:w="215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（記入。上位）</w:t>
            </w:r>
          </w:p>
        </w:tc>
        <w:tc>
          <w:tcPr>
            <w:tcW w:type="dxa" w:w="289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エスカレーション記録</w:t>
            </w:r>
          </w:p>
        </w:tc>
      </w:tr>
    </w:tbl>
    <w:p>
      <w:pPr>
        <w:spacing w:after="40"/>
      </w:pPr>
    </w:p>
    <w:p>
      <w:r>
        <w:rPr>
          <w:rFonts w:ascii="Calibri" w:hAnsi="Calibri" w:eastAsia="Yu Gothic" w:cs="Yu Gothic"/>
          <w:b w:val="0"/>
          <w:sz w:val="21"/>
        </w:rPr>
        <w:t>作業言語：（記入。技術記録は日中を対で出し、会議の言語は双方の窓口が取り決めることを推奨する）。会議は書面の未決事項に代えない。</w:t>
      </w:r>
    </w:p>
    <w:p>
      <w:pPr>
        <w:pStyle w:val="Heading1"/>
      </w:pPr>
      <w:r>
        <w:t>10. 変更</w:t>
      </w:r>
    </w:p>
    <w:p>
      <w:r>
        <w:rPr>
          <w:rFonts w:ascii="Calibri" w:hAnsi="Calibri" w:eastAsia="Yu Gothic" w:cs="Yu Gothic"/>
          <w:b w:val="0"/>
          <w:sz w:val="21"/>
        </w:rPr>
        <w:t>次は変更票に載せる。確認済み要求の増減、インタフェースの不変条件、受入れ基準、マイルストーン、双方の責任、承認済み文書の技術的結論。誤字と、意味を変えない言い換えは改訂履歴だけでよい。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804"/>
      </w:tblGrid>
      <w:tr>
        <w:trPr>
          <w:tblHeader/>
        </w:trPr>
        <w:tc>
          <w:tcPr>
            <w:tcW w:type="dxa" w:w="255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欄</w:t>
            </w:r>
          </w:p>
        </w:tc>
        <w:tc>
          <w:tcPr>
            <w:tcW w:type="dxa" w:w="680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変更番号</w:t>
            </w:r>
          </w:p>
        </w:tc>
        <w:tc>
          <w:tcPr>
            <w:tcW w:type="dxa" w:w="68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CR-連番</w:t>
            </w:r>
          </w:p>
        </w:tc>
      </w:tr>
      <w:tr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起票者</w:t>
            </w:r>
          </w:p>
        </w:tc>
        <w:tc>
          <w:tcPr>
            <w:tcW w:type="dxa" w:w="680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発注者または受注者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対象</w:t>
            </w:r>
          </w:p>
        </w:tc>
        <w:tc>
          <w:tcPr>
            <w:tcW w:type="dxa" w:w="68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要求番号、文書、マイルストーン</w:t>
            </w:r>
          </w:p>
        </w:tc>
      </w:tr>
      <w:tr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変更前 / 変更後</w:t>
            </w:r>
          </w:p>
        </w:tc>
        <w:tc>
          <w:tcPr>
            <w:tcW w:type="dxa" w:w="680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日程、工数、試験への影響</w:t>
            </w:r>
          </w:p>
        </w:tc>
        <w:tc>
          <w:tcPr>
            <w:tcW w:type="dxa" w:w="68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決定</w:t>
            </w:r>
          </w:p>
        </w:tc>
        <w:tc>
          <w:tcPr>
            <w:tcW w:type="dxa" w:w="680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採用、却下、延期。決定者と日付</w:t>
            </w:r>
          </w:p>
        </w:tc>
      </w:tr>
    </w:tbl>
    <w:p>
      <w:pPr>
        <w:spacing w:after="40"/>
      </w:pPr>
    </w:p>
    <w:p>
      <w:r>
        <w:rPr>
          <w:rFonts w:ascii="Calibri" w:hAnsi="Calibri" w:eastAsia="Yu Gothic" w:cs="Yu Gothic"/>
          <w:b w:val="0"/>
          <w:sz w:val="21"/>
        </w:rPr>
        <w:t>決定の前は、実施を元のベースラインのままとする。受注者は評価してよい。未決定の変更を、納品済みと称して対外実演へ入れない。</w:t>
      </w:r>
    </w:p>
    <w:p>
      <w:pPr>
        <w:pStyle w:val="Heading1"/>
      </w:pPr>
      <w:r>
        <w:t>11. 課題とリスク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rPr>
          <w:tblHeader/>
        </w:trPr>
        <w:tc>
          <w:tcPr>
            <w:tcW w:type="dxa" w:w="226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欄</w:t>
            </w:r>
          </w:p>
        </w:tc>
        <w:tc>
          <w:tcPr>
            <w:tcW w:type="dxa" w:w="708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番号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ISS-連番、または RSK-連番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記述</w:t>
            </w:r>
          </w:p>
        </w:tc>
        <w:tc>
          <w:tcPr>
            <w:tcW w:type="dxa" w:w="70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事実。非難を書かない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影響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範囲、日程、品質、安全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担当 / 期限</w:t>
            </w:r>
          </w:p>
        </w:tc>
        <w:tc>
          <w:tcPr>
            <w:tcW w:type="dxa" w:w="70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対応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状態</w:t>
            </w:r>
          </w:p>
        </w:tc>
        <w:tc>
          <w:tcPr>
            <w:tcW w:type="dxa" w:w="70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オープン、監視、クローズ</w:t>
            </w:r>
          </w:p>
        </w:tc>
      </w:tr>
    </w:tbl>
    <w:p>
      <w:pPr>
        <w:spacing w:after="40"/>
      </w:pPr>
    </w:p>
    <w:p>
      <w:r>
        <w:rPr>
          <w:rFonts w:ascii="Calibri" w:hAnsi="Calibri" w:eastAsia="Yu Gothic" w:cs="Yu Gothic"/>
          <w:b w:val="0"/>
          <w:sz w:val="21"/>
        </w:rPr>
        <w:t>二週間を超えて開いている課題は、次の進捗報告に必ず出す。クローズ時は結果を書き、元の行を消さない。</w:t>
      </w:r>
    </w:p>
    <w:p>
      <w:pPr>
        <w:pStyle w:val="Heading1"/>
      </w:pPr>
      <w:r>
        <w:t>12. 品質とビルド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プロトコルまたは PC の振舞いを変えるときは、先に失敗する確認を置き、そのあと実装を変える。入口のコマンドは ci/pipeline.ps1 の protocol と host である。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ファームウェアに触れたら、その基板の Debug ビルドを通す。反復の最後の関連ストーリーで Release を実行する。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実機の記録は RXRA-IT-01 に従う。実機記録のない機能を、進捗で完了にしない。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GitHub 上のワークフローは任意の入口である。GitHub を使えない場合も、同じ確認をローカルのパイプラインで行い、別のビルド手順を書かない。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ウォッチドッグ、資源使用量、日中の文書同期は、完了の条件であり、あとからの整理ではない。</w:t>
      </w:r>
    </w:p>
    <w:p>
      <w:pPr>
        <w:pStyle w:val="Heading1"/>
      </w:pPr>
      <w:r>
        <w:t>13. 報告</w:t>
      </w:r>
    </w:p>
    <w:p>
      <w:pPr>
        <w:pStyle w:val="Heading2"/>
      </w:pPr>
      <w:r>
        <w:t>13.1 進捗報告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633"/>
      </w:tblGrid>
      <w:tr>
        <w:trPr>
          <w:tblHeader/>
        </w:trPr>
        <w:tc>
          <w:tcPr>
            <w:tcW w:type="dxa" w:w="272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欄</w:t>
            </w:r>
          </w:p>
        </w:tc>
        <w:tc>
          <w:tcPr>
            <w:tcW w:type="dxa" w:w="6633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期間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72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完了したストーリーまたは文書</w:t>
            </w:r>
          </w:p>
        </w:tc>
        <w:tc>
          <w:tcPr>
            <w:tcW w:type="dxa" w:w="6633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番号と証跡の位置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次の期間の約束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72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ブロックと、発注者の決定が要ること</w:t>
            </w:r>
          </w:p>
        </w:tc>
        <w:tc>
          <w:tcPr>
            <w:tcW w:type="dxa" w:w="6633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Q、CR、ISS の番号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不具合の概況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新規、クローズ、残存</w:t>
            </w:r>
          </w:p>
        </w:tc>
      </w:tr>
      <w:tr>
        <w:tc>
          <w:tcPr>
            <w:tcW w:type="dxa" w:w="272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ベースライン</w:t>
            </w:r>
          </w:p>
        </w:tc>
        <w:tc>
          <w:tcPr>
            <w:tcW w:type="dxa" w:w="6633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ブランチとコミット識別子</w:t>
            </w:r>
          </w:p>
        </w:tc>
      </w:tr>
    </w:tbl>
    <w:p>
      <w:pPr>
        <w:spacing w:after="40"/>
      </w:pPr>
    </w:p>
    <w:p>
      <w:pPr>
        <w:pStyle w:val="Heading2"/>
      </w:pPr>
      <w:r>
        <w:t>13.2 提出物の確認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541"/>
      </w:tblGrid>
      <w:tr>
        <w:trPr>
          <w:tblHeader/>
        </w:trPr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確認</w:t>
            </w:r>
          </w:p>
        </w:tc>
        <w:tc>
          <w:tcPr>
            <w:tcW w:type="dxa" w:w="754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通過条件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言語</w:t>
            </w:r>
          </w:p>
        </w:tc>
        <w:tc>
          <w:tcPr>
            <w:tcW w:type="dxa" w:w="75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日中の章番号が一致する。または単言語の底稿であると明示する</w:t>
            </w:r>
          </w:p>
        </w:tc>
      </w:tr>
      <w:tr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承認</w:t>
            </w:r>
          </w:p>
        </w:tc>
        <w:tc>
          <w:tcPr>
            <w:tcW w:type="dxa" w:w="75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発注者へ発行版と呼ぶファイルは、承認欄が署名済みである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追跡</w:t>
            </w:r>
          </w:p>
        </w:tc>
        <w:tc>
          <w:tcPr>
            <w:tcW w:type="dxa" w:w="75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この段階の Must が、BD と IT のあいだで空番号になっていない</w:t>
            </w:r>
          </w:p>
        </w:tc>
      </w:tr>
      <w:tr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ビルド</w:t>
            </w:r>
          </w:p>
        </w:tc>
        <w:tc>
          <w:tcPr>
            <w:tcW w:type="dxa" w:w="75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報告のコミット識別子で、そのビルドを再現できる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秘密</w:t>
            </w:r>
          </w:p>
        </w:tc>
        <w:tc>
          <w:tcPr>
            <w:tcW w:type="dxa" w:w="75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提出物にパスワードと秘密鍵がない</w:t>
            </w:r>
          </w:p>
        </w:tc>
      </w:tr>
    </w:tbl>
    <w:p>
      <w:pPr>
        <w:spacing w:after="40"/>
      </w:pPr>
    </w:p>
    <w:p>
      <w:pPr>
        <w:pStyle w:val="Heading1"/>
      </w:pPr>
      <w:r>
        <w:t>14. レビューの観点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正式文書と底稿が、矛盾する二つの結論を持っていない。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契約形態が未定のあいだ、責任表を発効済みとして書いていない。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工数の欄が、作業見積りと発注者の確認値を分けている。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変更票があるのに、進捗の約束が未承認の範囲を黙って含んでいない。</w:t>
      </w:r>
    </w:p>
    <w:p>
      <w:pPr>
        <w:pStyle w:val="Heading1"/>
      </w:pPr>
      <w:r>
        <w:t>承認</w:t>
      </w:r>
    </w:p>
    <w:p>
      <w:r>
        <w:rPr>
          <w:rFonts w:ascii="Calibri" w:hAnsi="Calibri" w:eastAsia="Yu Gothic" w:cs="Yu Gothic"/>
          <w:b w:val="0"/>
          <w:sz w:val="21"/>
        </w:rPr>
        <w:t>作成とレビューは受注者が行う。発行の承認は発注者が行う。氏名は本人が署名し、本枠組みにはあらかじめ書かない。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438"/>
        <w:gridCol w:w="1814"/>
        <w:gridCol w:w="1587"/>
        <w:gridCol w:w="1701"/>
      </w:tblGrid>
      <w:tr>
        <w:trPr>
          <w:tblHeader/>
        </w:trPr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243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組織</w:t>
            </w:r>
          </w:p>
        </w:tc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氏名</w:t>
            </w:r>
          </w:p>
        </w:tc>
        <w:tc>
          <w:tcPr>
            <w:tcW w:type="dxa" w:w="158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署名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作成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BREXA Technology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受注者レビュー</w:t>
            </w:r>
          </w:p>
        </w:tc>
        <w:tc>
          <w:tcPr>
            <w:tcW w:type="dxa" w:w="243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BREXA Technology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発注者レビュー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株式会社ベリサーブ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承認</w:t>
            </w:r>
          </w:p>
        </w:tc>
        <w:tc>
          <w:tcPr>
            <w:tcW w:type="dxa" w:w="243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株式会社ベリサーブ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964" w:left="1020" w:header="34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Yu Gothic" w:cs="Yu Gothic"/>
        <w:b w:val="0"/>
        <w:color w:val="5B6770"/>
        <w:sz w:val="16"/>
      </w:rPr>
      <w:t xml:space="preserve">関係者外秘  ·  発注者 株式会社ベリサーブ  ·  受注者 株式会社BREXA Technology    </w:t>
    </w:r>
    <w:r>
      <w:rPr>
        <w:rFonts w:ascii="Calibri" w:hAnsi="Calibri" w:eastAsia="Yu Gothic" w:cs="Yu Gothic"/>
        <w:b w:val="0"/>
        <w:color w:val="5B6770"/>
        <w:sz w:val="16"/>
      </w:rPr>
      <w:fldChar w:fldCharType="begin"/>
      <w:instrText xml:space="preserve"> PAGE </w:instrText>
      <w:fldChar w:fldCharType="end"/>
    </w:r>
    <w:r>
      <w:rPr>
        <w:rFonts w:ascii="Calibri" w:hAnsi="Calibri" w:eastAsia="Yu Gothic" w:cs="Yu Gothic"/>
        <w:b w:val="0"/>
        <w:color w:val="5B6770"/>
        <w:sz w:val="16"/>
      </w:rPr>
      <w:t xml:space="preserve"> / </w:t>
    </w:r>
    <w:r>
      <w:rPr>
        <w:rFonts w:ascii="Calibri" w:hAnsi="Calibri" w:eastAsia="Yu Gothic" w:cs="Yu Gothic"/>
        <w:b w:val="0"/>
        <w:color w:val="5B6770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Yu Gothic" w:cs="Yu Gothic"/>
        <w:b w:val="0"/>
        <w:color w:val="5B6770"/>
        <w:sz w:val="16"/>
      </w:rPr>
      <w:t>RXRA-PM-01  |  ドキュメント・プロジェクト管理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Yu Gothic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ドキュメント・プロジェクト管理</dc:title>
  <dc:subject>RXRA-PM-01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BREXA Technology / 株式会社ベリサーブ</cp:category>
  <dc:language>ja-JP</dc:language>
</cp:coreProperties>
</file>