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left"/>
      </w:pPr>
      <w:r>
        <w:rPr>
          <w:rFonts w:ascii="Calibri" w:hAnsi="Calibri" w:eastAsia="微软雅黑" w:cs="微软雅黑"/>
          <w:b/>
          <w:color w:val="1F4E79"/>
          <w:sz w:val="24"/>
        </w:rPr>
        <w:t>BREXA Technology</w:t>
      </w:r>
    </w:p>
    <w:p>
      <w:r>
        <w:rPr>
          <w:rFonts w:ascii="Calibri" w:hAnsi="Calibri" w:eastAsia="微软雅黑" w:cs="微软雅黑"/>
          <w:b w:val="0"/>
          <w:color w:val="5B6770"/>
          <w:sz w:val="22"/>
        </w:rPr>
        <w:t>标准文档框架</w:t>
      </w:r>
    </w:p>
    <w:p>
      <w:pPr>
        <w:spacing w:before="360"/>
      </w:pPr>
      <w:r>
        <w:rPr>
          <w:rFonts w:ascii="Calibri" w:hAnsi="Calibri" w:eastAsia="微软雅黑" w:cs="微软雅黑"/>
          <w:b/>
          <w:color w:val="1F4E79"/>
          <w:sz w:val="24"/>
        </w:rPr>
        <w:t>RXRA-PM-01</w:t>
      </w:r>
    </w:p>
    <w:p>
      <w:r>
        <w:rPr>
          <w:rFonts w:ascii="Calibri" w:hAnsi="Calibri" w:eastAsia="微软雅黑" w:cs="微软雅黑"/>
          <w:b/>
          <w:color w:val="12263A"/>
          <w:sz w:val="44"/>
        </w:rPr>
        <w:t>文档与项目管理</w:t>
      </w:r>
    </w:p>
    <w:p>
      <w:r>
        <w:rPr>
          <w:rFonts w:ascii="Calibri" w:hAnsi="Calibri" w:eastAsia="微软雅黑" w:cs="微软雅黑"/>
          <w:b w:val="0"/>
          <w:color w:val="334155"/>
          <w:sz w:val="24"/>
        </w:rPr>
        <w:t>Renesas RX71M / RA8P 嵌入式软件与 PC 上位机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4"/>
      </w:tblGrid>
      <w:tr>
        <w:trPr>
          <w:tblHeader/>
        </w:trPr>
        <w:tc>
          <w:tcPr>
            <w:tcW w:type="dxa" w:w="238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97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文档编号</w:t>
            </w:r>
          </w:p>
        </w:tc>
        <w:tc>
          <w:tcPr>
            <w:tcW w:type="dxa" w:w="69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RXRA-PM-01</w:t>
            </w:r>
          </w:p>
        </w:tc>
      </w:tr>
      <w:tr>
        <w:tc>
          <w:tcPr>
            <w:tcW w:type="dxa" w:w="238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文档状态</w:t>
            </w:r>
          </w:p>
        </w:tc>
        <w:tc>
          <w:tcPr>
            <w:tcW w:type="dxa" w:w="697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0.1 草案（框架）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发行日期</w:t>
            </w:r>
          </w:p>
        </w:tc>
        <w:tc>
          <w:tcPr>
            <w:tcW w:type="dxa" w:w="69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2026-10-03</w:t>
            </w:r>
          </w:p>
        </w:tc>
      </w:tr>
      <w:tr>
        <w:tc>
          <w:tcPr>
            <w:tcW w:type="dxa" w:w="238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甲方（委托方）</w:t>
            </w:r>
          </w:p>
        </w:tc>
        <w:tc>
          <w:tcPr>
            <w:tcW w:type="dxa" w:w="697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株式会社ベリサーブ（VeriServe Corporation）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乙方（受托方）</w:t>
            </w:r>
          </w:p>
        </w:tc>
        <w:tc>
          <w:tcPr>
            <w:tcW w:type="dxa" w:w="69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株式会社BREXA Technology（BREXA Technology）</w:t>
            </w:r>
          </w:p>
        </w:tc>
      </w:tr>
      <w:tr>
        <w:tc>
          <w:tcPr>
            <w:tcW w:type="dxa" w:w="238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作成</w:t>
            </w:r>
          </w:p>
        </w:tc>
        <w:tc>
          <w:tcPr>
            <w:tcW w:type="dxa" w:w="697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乙方担当。署名栏留空，不代填个人姓名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项目</w:t>
            </w:r>
          </w:p>
        </w:tc>
        <w:tc>
          <w:tcPr>
            <w:tcW w:type="dxa" w:w="69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Renesas RX71M / RA8P 嵌入式软件、HL1 协议、PC 上位机</w:t>
            </w:r>
          </w:p>
        </w:tc>
      </w:tr>
      <w:tr>
        <w:tc>
          <w:tcPr>
            <w:tcW w:type="dxa" w:w="238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合同形态</w:t>
            </w:r>
          </w:p>
        </w:tc>
        <w:tc>
          <w:tcPr>
            <w:tcW w:type="dxa" w:w="697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填写。委托资料中为派遣或准委任，尚未在本框架中选定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语言</w:t>
            </w:r>
          </w:p>
        </w:tc>
        <w:tc>
          <w:tcPr>
            <w:tcW w:type="dxa" w:w="69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中文。日文版章节号与本文件相同，两份不混写</w:t>
            </w:r>
          </w:p>
        </w:tc>
      </w:tr>
      <w:tr>
        <w:tc>
          <w:tcPr>
            <w:tcW w:type="dxa" w:w="238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密级</w:t>
            </w:r>
          </w:p>
        </w:tc>
        <w:tc>
          <w:tcPr>
            <w:tcW w:type="dxa" w:w="697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仅限相关方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 w:cs="微软雅黑"/>
          <w:b w:val="0"/>
          <w:sz w:val="21"/>
        </w:rPr>
        <w:t>本文件是对甲方提交用的章节框架。仓库中的 Markdown 是作业底稿。栏位标有「填写」的，在评审前补齐。技术结论经本文件的批准栏签字后，才作为该主题的发行版。</w:t>
      </w:r>
    </w:p>
    <w:p>
      <w:pPr>
        <w:pStyle w:val="Heading1"/>
      </w:pPr>
      <w:r>
        <w:t>修订记录</w:t>
      </w:r>
    </w:p>
    <w:p>
      <w:pPr>
        <w:spacing w:before="40" w:after="160"/>
        <w:shd w:val="clear" w:color="auto" w:fill="E8EEF4"/>
      </w:pPr>
      <w:r>
        <w:rPr>
          <w:rFonts w:ascii="Calibri" w:hAnsi="Calibri" w:eastAsia="微软雅黑" w:cs="微软雅黑"/>
          <w:b w:val="0"/>
          <w:color w:val="1F4E79"/>
          <w:sz w:val="18"/>
        </w:rPr>
        <w:t>只追加行，不涂改已发行的行。批准后的版本号从 1.0 起。框架期间使用 0.x。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474"/>
        <w:gridCol w:w="2041"/>
        <w:gridCol w:w="3288"/>
        <w:gridCol w:w="1417"/>
      </w:tblGrid>
      <w:tr>
        <w:trPr>
          <w:tblHeader/>
        </w:trPr>
        <w:tc>
          <w:tcPr>
            <w:tcW w:type="dxa" w:w="113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47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04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作者</w:t>
            </w:r>
          </w:p>
        </w:tc>
        <w:tc>
          <w:tcPr>
            <w:tcW w:type="dxa" w:w="3288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变更说明</w:t>
            </w:r>
          </w:p>
        </w:tc>
        <w:tc>
          <w:tcPr>
            <w:tcW w:type="dxa" w:w="141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甲方确认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0.1</w:t>
            </w:r>
          </w:p>
        </w:tc>
        <w:tc>
          <w:tcPr>
            <w:tcW w:type="dxa" w:w="147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2026-10-03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BREXA Technology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建立标准框架。技术正文尚未批准。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未确认</w:t>
            </w:r>
          </w:p>
        </w:tc>
      </w:tr>
      <w:tr>
        <w:tc>
          <w:tcPr>
            <w:tcW w:type="dxa" w:w="113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  <w:tc>
          <w:tcPr>
            <w:tcW w:type="dxa" w:w="147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  <w:tc>
          <w:tcPr>
            <w:tcW w:type="dxa" w:w="204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  <w:tc>
          <w:tcPr>
            <w:tcW w:type="dxa" w:w="328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41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目录</w:t>
      </w:r>
    </w:p>
    <w:p>
      <w:r>
        <w:fldChar w:fldCharType="begin"/>
        <w:instrText xml:space="preserve"> TOC \o "1-2" \h \z \u </w:instrText>
        <w:fldChar w:fldCharType="separate"/>
      </w:r>
      <w:r>
        <w:rPr>
          <w:rFonts w:ascii="Calibri" w:hAnsi="Calibri" w:eastAsia="微软雅黑" w:cs="微软雅黑"/>
          <w:b w:val="0"/>
          <w:color w:val="5B6770"/>
          <w:sz w:val="21"/>
        </w:rPr>
        <w:t>打开本文件时若 Word 询问是否更新域，请选择更新。也可在目录上右键，选择更新域。</w:t>
      </w:r>
      <w:r>
        <w:fldChar w:fldCharType="end"/>
      </w:r>
    </w:p>
    <w:p>
      <w:pPr>
        <w:pStyle w:val="Heading1"/>
      </w:pPr>
      <w:r>
        <w:t>1. 目的</w:t>
      </w:r>
    </w:p>
    <w:p>
      <w:r>
        <w:rPr>
          <w:rFonts w:ascii="Calibri" w:hAnsi="Calibri" w:eastAsia="微软雅黑" w:cs="微软雅黑"/>
          <w:b w:val="0"/>
          <w:sz w:val="21"/>
        </w:rPr>
        <w:t>本文件规定对甲方交付的文档如何作成、评审、发行和作废，以及乙方如何向甲方报告范围、进度、课题、变更和质量。它不代替要求分析和测试记录。</w:t>
      </w:r>
    </w:p>
    <w:p>
      <w:pPr>
        <w:pStyle w:val="Heading1"/>
      </w:pPr>
      <w:r>
        <w:t>2. 文档体系</w:t>
      </w:r>
    </w:p>
    <w:p>
      <w:pPr>
        <w:pStyle w:val="Heading2"/>
      </w:pPr>
      <w:r>
        <w:t>2.1 对甲方的正式文件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4422"/>
      </w:tblGrid>
      <w:tr>
        <w:trPr>
          <w:tblHeader/>
        </w:trPr>
        <w:tc>
          <w:tcPr>
            <w:tcW w:type="dxa" w:w="181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118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4422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回答的问题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RXRA-BD-01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要求分析与基本设计</w:t>
            </w:r>
          </w:p>
        </w:tc>
        <w:tc>
          <w:tcPr>
            <w:tcW w:type="dxa" w:w="442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做什么、做到哪一层、何者为准</w:t>
            </w:r>
          </w:p>
        </w:tc>
      </w:tr>
      <w:tr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RXRA-IT-01</w:t>
            </w:r>
          </w:p>
        </w:tc>
        <w:tc>
          <w:tcPr>
            <w:tcW w:type="dxa" w:w="311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结合测试与验证</w:t>
            </w:r>
          </w:p>
        </w:tc>
        <w:tc>
          <w:tcPr>
            <w:tcW w:type="dxa" w:w="442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如何证明、证据在哪、能否接收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RXRA-PM-01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本文</w:t>
            </w:r>
          </w:p>
        </w:tc>
        <w:tc>
          <w:tcPr>
            <w:tcW w:type="dxa" w:w="442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文档和项目如何管理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 w:cs="微软雅黑"/>
          <w:b w:val="0"/>
          <w:sz w:val="21"/>
        </w:rPr>
        <w:t>三份文件中文、日文章节号相同。正式发行时两份一起提交。只更新一种语言时，另一份标成未同步，不得当作发行版。</w:t>
      </w:r>
    </w:p>
    <w:p>
      <w:pPr>
        <w:pStyle w:val="Heading2"/>
      </w:pPr>
      <w:r>
        <w:t>2.2 作业底稿</w:t>
      </w:r>
    </w:p>
    <w:p>
      <w:pPr>
        <w:spacing w:before="40" w:after="160"/>
        <w:shd w:val="clear" w:color="auto" w:fill="E8EEF4"/>
      </w:pPr>
      <w:r>
        <w:rPr>
          <w:rFonts w:ascii="Calibri" w:hAnsi="Calibri" w:eastAsia="微软雅黑" w:cs="微软雅黑"/>
          <w:b w:val="0"/>
          <w:color w:val="1F4E79"/>
          <w:sz w:val="18"/>
        </w:rPr>
        <w:t>底稿可以先于正式文件更新。底稿与已批准的正式文件冲突时，以正式文件为准，并立即开课题。正式文件尚未批准时，以修订记录里日期较新的底稿为准。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3742"/>
        <w:gridCol w:w="1530"/>
      </w:tblGrid>
      <w:tr>
        <w:trPr>
          <w:tblHeader/>
        </w:trPr>
        <w:tc>
          <w:tcPr>
            <w:tcW w:type="dxa" w:w="4082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底稿</w:t>
            </w:r>
          </w:p>
        </w:tc>
        <w:tc>
          <w:tcPr>
            <w:tcW w:type="dxa" w:w="3742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将来进入</w:t>
            </w:r>
          </w:p>
        </w:tc>
        <w:tc>
          <w:tcPr>
            <w:tcW w:type="dxa" w:w="1530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语言</w:t>
            </w:r>
          </w:p>
        </w:tc>
      </w:tr>
      <w:tr>
        <w:tc>
          <w:tcPr>
            <w:tcW w:type="dxa" w:w="408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embedded_system_requirements 中日版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RXRA-BD-01 第 6 章的输入</w:t>
            </w:r>
          </w:p>
        </w:tc>
        <w:tc>
          <w:tcPr>
            <w:tcW w:type="dxa" w:w="1530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中日各一份</w:t>
            </w:r>
          </w:p>
        </w:tc>
      </w:tr>
      <w:tr>
        <w:tc>
          <w:tcPr>
            <w:tcW w:type="dxa" w:w="408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software_architecture 中日版</w:t>
            </w:r>
          </w:p>
        </w:tc>
        <w:tc>
          <w:tcPr>
            <w:tcW w:type="dxa" w:w="374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RXRA-BD-01 第 7 章</w:t>
            </w:r>
          </w:p>
        </w:tc>
        <w:tc>
          <w:tcPr>
            <w:tcW w:type="dxa" w:w="1530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中日各一份</w:t>
            </w:r>
          </w:p>
        </w:tc>
      </w:tr>
      <w:tr>
        <w:tc>
          <w:tcPr>
            <w:tcW w:type="dxa" w:w="408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host_link_protocol 中日版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保持为接口详细规格，由 BD 索引</w:t>
            </w:r>
          </w:p>
        </w:tc>
        <w:tc>
          <w:tcPr>
            <w:tcW w:type="dxa" w:w="1530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中日各一份</w:t>
            </w:r>
          </w:p>
        </w:tc>
      </w:tr>
      <w:tr>
        <w:tc>
          <w:tcPr>
            <w:tcW w:type="dxa" w:w="408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protocol_change_workflow.md</w:t>
            </w:r>
          </w:p>
        </w:tc>
        <w:tc>
          <w:tcPr>
            <w:tcW w:type="dxa" w:w="374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协议变更手续。发行前决定是否升为正式附件</w:t>
            </w:r>
          </w:p>
        </w:tc>
        <w:tc>
          <w:tcPr>
            <w:tcW w:type="dxa" w:w="1530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中文</w:t>
            </w:r>
          </w:p>
        </w:tc>
      </w:tr>
      <w:tr>
        <w:tc>
          <w:tcPr>
            <w:tcW w:type="dxa" w:w="408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system_test_design 中日版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RXRA-IT-01 的用例底稿</w:t>
            </w:r>
          </w:p>
        </w:tc>
        <w:tc>
          <w:tcPr>
            <w:tcW w:type="dxa" w:w="1530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中日各一份</w:t>
            </w:r>
          </w:p>
        </w:tc>
      </w:tr>
      <w:tr>
        <w:tc>
          <w:tcPr>
            <w:tcW w:type="dxa" w:w="408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workspace_layout.md、mcu_resource_map.md</w:t>
            </w:r>
          </w:p>
        </w:tc>
        <w:tc>
          <w:tcPr>
            <w:tcW w:type="dxa" w:w="374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资源与目录。发行前决定是否译日文</w:t>
            </w:r>
          </w:p>
        </w:tc>
        <w:tc>
          <w:tcPr>
            <w:tcW w:type="dxa" w:w="1530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中文</w:t>
            </w:r>
          </w:p>
        </w:tc>
      </w:tr>
      <w:tr>
        <w:tc>
          <w:tcPr>
            <w:tcW w:type="dxa" w:w="408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firmware_image_and_renesas_lineup.md</w:t>
            </w:r>
          </w:p>
        </w:tc>
        <w:tc>
          <w:tcPr>
            <w:tcW w:type="dxa" w:w="374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镜像产物说明。不默认成为合同交付</w:t>
            </w:r>
          </w:p>
        </w:tc>
        <w:tc>
          <w:tcPr>
            <w:tcW w:type="dxa" w:w="1530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中文</w:t>
            </w:r>
          </w:p>
        </w:tc>
      </w:tr>
      <w:tr>
        <w:tc>
          <w:tcPr>
            <w:tcW w:type="dxa" w:w="408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project_backlog 中日版，以及 project_backlog_effort、工数估算.xlsx、工数見積.xlsx</w:t>
            </w:r>
          </w:p>
        </w:tc>
        <w:tc>
          <w:tcPr>
            <w:tcW w:type="dxa" w:w="374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进度与工数的作业数。合同工数以甲方确认栏为准</w:t>
            </w:r>
          </w:p>
        </w:tc>
        <w:tc>
          <w:tcPr>
            <w:tcW w:type="dxa" w:w="1530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表内注明</w:t>
            </w:r>
          </w:p>
        </w:tc>
      </w:tr>
    </w:tbl>
    <w:p>
      <w:pPr>
        <w:spacing w:after="40"/>
      </w:pPr>
    </w:p>
    <w:p>
      <w:pPr>
        <w:pStyle w:val="Heading2"/>
      </w:pPr>
      <w:r>
        <w:t>2.3 不作为规格的材料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构建目录、ci/out、个人笔记、未写入修订记录的聊天结论。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厂商生成树中的注释。它们不是乙方的设计说明。</w:t>
      </w:r>
    </w:p>
    <w:p>
      <w:pPr>
        <w:pStyle w:val="Heading1"/>
      </w:pPr>
      <w:r>
        <w:t>3. 文档管理</w:t>
      </w:r>
    </w:p>
    <w:p>
      <w:pPr>
        <w:pStyle w:val="Heading2"/>
      </w:pPr>
      <w:r>
        <w:t>3.1 状态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819"/>
        <w:gridCol w:w="2835"/>
      </w:tblGrid>
      <w:tr>
        <w:trPr>
          <w:tblHeader/>
        </w:trPr>
        <w:tc>
          <w:tcPr>
            <w:tcW w:type="dxa" w:w="170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819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835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谁可以宣布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0.x 草案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框架或填写中。不能作为验收依据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乙方作成人</w:t>
            </w:r>
          </w:p>
        </w:tc>
      </w:tr>
      <w:tr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评审中</w:t>
            </w:r>
          </w:p>
        </w:tc>
        <w:tc>
          <w:tcPr>
            <w:tcW w:type="dxa" w:w="4819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已提交甲方，结论未回</w:t>
            </w:r>
          </w:p>
        </w:tc>
        <w:tc>
          <w:tcPr>
            <w:tcW w:type="dxa" w:w="283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乙方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已批准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批准栏齐全的 1.x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甲方</w:t>
            </w:r>
          </w:p>
        </w:tc>
      </w:tr>
      <w:tr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作废</w:t>
            </w:r>
          </w:p>
        </w:tc>
        <w:tc>
          <w:tcPr>
            <w:tcW w:type="dxa" w:w="4819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被新版代替。旧版保留但不使用</w:t>
            </w:r>
          </w:p>
        </w:tc>
        <w:tc>
          <w:tcPr>
            <w:tcW w:type="dxa" w:w="283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甲方批准作废记录</w:t>
            </w:r>
          </w:p>
        </w:tc>
      </w:tr>
    </w:tbl>
    <w:p>
      <w:pPr>
        <w:spacing w:after="40"/>
      </w:pPr>
    </w:p>
    <w:p>
      <w:pPr>
        <w:pStyle w:val="Heading2"/>
      </w:pPr>
      <w:r>
        <w:t>3.2 手续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作成人填写修订记录。评审意见不直接改成无记录的正文。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技术评审先在乙方内部完成，再提交甲方。提交物包含中日两份和底稿差异说明。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甲方意见在五个工作日内处理完毕或转成课题。期限若合同另有规定，改用合同期限，并改本条。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批准后的文件名保留文档编号和版本。不覆盖旧文件的二进制。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保管位置：（填写。建议为甲方指定的共享目录，仓库 doc 只放作业底稿和已提交的副本）。</w:t>
      </w:r>
    </w:p>
    <w:p>
      <w:pPr>
        <w:pStyle w:val="Heading2"/>
      </w:pPr>
      <w:r>
        <w:t>3.3 标识</w:t>
      </w:r>
    </w:p>
    <w:p>
      <w:r>
        <w:rPr>
          <w:rFonts w:ascii="Calibri" w:hAnsi="Calibri" w:eastAsia="微软雅黑" w:cs="微软雅黑"/>
          <w:b w:val="0"/>
          <w:sz w:val="21"/>
        </w:rPr>
        <w:t>正式 Word 的编号是 RXRA-文件类型-两位序号。页眉放编号和标题，页脚放仅限相关方、双方组织名和页码。图和表有编号。从底稿粘贴的内容要删去只在内部有意义的路径，或把路径改成甲方也能打开的相对位置。</w:t>
      </w:r>
    </w:p>
    <w:p>
      <w:pPr>
        <w:pStyle w:val="Heading1"/>
      </w:pPr>
      <w:r>
        <w:t>4. 语言与格式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对甲方的叙述性文档使用 Word。中文一份，日文一份。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协议字段、命令字符串、源码标识保持原文，不翻译进另一种语义。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日期用 YYYY-MM-DD。工数用一人日。1 人日等于 8 小时，1 人月等于 20 人日。这个口径若与合同不同，以合同为准并改本条。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文件编码和仓库文本使用 UTF-8。</w:t>
      </w:r>
    </w:p>
    <w:p>
      <w:pPr>
        <w:pStyle w:val="Heading1"/>
      </w:pPr>
      <w:r>
        <w:t>5. 配置管理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371"/>
      </w:tblGrid>
      <w:tr>
        <w:trPr>
          <w:tblHeader/>
        </w:trPr>
        <w:tc>
          <w:tcPr>
            <w:tcW w:type="dxa" w:w="198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737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规则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规格与源码</w:t>
            </w:r>
          </w:p>
        </w:tc>
        <w:tc>
          <w:tcPr>
            <w:tcW w:type="dxa" w:w="737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同一 Git 仓库。发行构建记下分支和提交标识</w:t>
            </w:r>
          </w:p>
        </w:tc>
      </w:tr>
      <w:tr>
        <w:tc>
          <w:tcPr>
            <w:tcW w:type="dxa" w:w="198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生成物</w:t>
            </w:r>
          </w:p>
        </w:tc>
        <w:tc>
          <w:tcPr>
            <w:tcW w:type="dxa" w:w="737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Debug / Release 的 elf、mot 或 srec、hex、bin 按 CI 规则收集。不把整个构建目录当规格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秘密</w:t>
            </w:r>
          </w:p>
        </w:tc>
        <w:tc>
          <w:tcPr>
            <w:tcW w:type="dxa" w:w="737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口令、密钥、私有账号不入库</w:t>
            </w:r>
          </w:p>
        </w:tc>
      </w:tr>
      <w:tr>
        <w:tc>
          <w:tcPr>
            <w:tcW w:type="dxa" w:w="198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厂商树</w:t>
            </w:r>
          </w:p>
        </w:tc>
        <w:tc>
          <w:tcPr>
            <w:tcW w:type="dxa" w:w="737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FSP、FreeRTOS、Smart Configurator 生成物不随手改。必须改时在课题里写原因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基线</w:t>
            </w:r>
          </w:p>
        </w:tc>
        <w:tc>
          <w:tcPr>
            <w:tcW w:type="dxa" w:w="737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甲方批准 BD 的当次提交，成为设计基线。之后的行为变化走变更</w:t>
            </w:r>
          </w:p>
        </w:tc>
      </w:tr>
    </w:tbl>
    <w:p>
      <w:pPr>
        <w:spacing w:after="40"/>
      </w:pPr>
    </w:p>
    <w:p>
      <w:pPr>
        <w:pStyle w:val="Heading1"/>
      </w:pPr>
      <w:r>
        <w:t>6. 项目范围</w:t>
      </w:r>
    </w:p>
    <w:p>
      <w:r>
        <w:rPr>
          <w:rFonts w:ascii="Calibri" w:hAnsi="Calibri" w:eastAsia="微软雅黑" w:cs="微软雅黑"/>
          <w:b w:val="0"/>
          <w:sz w:val="21"/>
        </w:rPr>
        <w:t>范围以已批准的 RXRA-BD-01 为准。在 BD 批准前，作业范围是委托资料加上双方书面确认的假设。口头增加的功能先记入变更单，不直接进入迭代承诺。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804"/>
      </w:tblGrid>
      <w:tr>
        <w:trPr>
          <w:tblHeader/>
        </w:trPr>
        <w:tc>
          <w:tcPr>
            <w:tcW w:type="dxa" w:w="255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栏</w:t>
            </w:r>
          </w:p>
        </w:tc>
        <w:tc>
          <w:tcPr>
            <w:tcW w:type="dxa" w:w="680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本阶段包含</w:t>
            </w:r>
          </w:p>
        </w:tc>
        <w:tc>
          <w:tcPr>
            <w:tcW w:type="dxa" w:w="680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</w:tr>
      <w:tr>
        <w:tc>
          <w:tcPr>
            <w:tcW w:type="dxa" w:w="255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本阶段不包含</w:t>
            </w:r>
          </w:p>
        </w:tc>
        <w:tc>
          <w:tcPr>
            <w:tcW w:type="dxa" w:w="680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依赖甲方的提供物</w:t>
            </w:r>
          </w:p>
        </w:tc>
        <w:tc>
          <w:tcPr>
            <w:tcW w:type="dxa" w:w="680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实机、工具、未决事项答复、验收人</w:t>
            </w:r>
          </w:p>
        </w:tc>
      </w:tr>
      <w:tr>
        <w:tc>
          <w:tcPr>
            <w:tcW w:type="dxa" w:w="255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现行作业假设的位置</w:t>
            </w:r>
          </w:p>
        </w:tc>
        <w:tc>
          <w:tcPr>
            <w:tcW w:type="dxa" w:w="680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project_backlog 第 1 节。批准前它只是假设</w:t>
            </w:r>
          </w:p>
        </w:tc>
      </w:tr>
    </w:tbl>
    <w:p>
      <w:pPr>
        <w:spacing w:after="40"/>
      </w:pPr>
    </w:p>
    <w:p>
      <w:pPr>
        <w:pStyle w:val="Heading1"/>
      </w:pPr>
      <w:r>
        <w:t>7. 体制</w:t>
      </w:r>
    </w:p>
    <w:p>
      <w:pPr>
        <w:pStyle w:val="Heading2"/>
      </w:pPr>
      <w:r>
        <w:t>责任分界</w:t>
      </w:r>
    </w:p>
    <w:p>
      <w:pPr>
        <w:spacing w:before="40" w:after="160"/>
        <w:shd w:val="clear" w:color="auto" w:fill="E8EEF4"/>
      </w:pPr>
      <w:r>
        <w:rPr>
          <w:rFonts w:ascii="Calibri" w:hAnsi="Calibri" w:eastAsia="微软雅黑" w:cs="微软雅黑"/>
          <w:b w:val="0"/>
          <w:color w:val="1F4E79"/>
          <w:sz w:val="18"/>
        </w:rPr>
        <w:t>合同若定为派遣，指挥命令在甲方，下表改成甲方指挥下的作业分担，并在变更栏记录。合同若定为准委任，乙方对成果负责，甲方负责要求与验收。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515"/>
        <w:gridCol w:w="3572"/>
      </w:tblGrid>
      <w:tr>
        <w:trPr>
          <w:tblHeader/>
        </w:trPr>
        <w:tc>
          <w:tcPr>
            <w:tcW w:type="dxa" w:w="2268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活动</w:t>
            </w:r>
          </w:p>
        </w:tc>
        <w:tc>
          <w:tcPr>
            <w:tcW w:type="dxa" w:w="3515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甲方 株式会社ベリサーブ</w:t>
            </w:r>
          </w:p>
        </w:tc>
        <w:tc>
          <w:tcPr>
            <w:tcW w:type="dxa" w:w="3572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乙方 BREXA Technology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要求的提出与优先顺序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提出、确认、变更批准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整理成可追踪的要求条目</w:t>
            </w:r>
          </w:p>
        </w:tc>
      </w:tr>
      <w:tr>
        <w:tc>
          <w:tcPr>
            <w:tcW w:type="dxa" w:w="226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基本设计</w:t>
            </w:r>
          </w:p>
        </w:tc>
        <w:tc>
          <w:tcPr>
            <w:tcW w:type="dxa" w:w="351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评审、批准</w:t>
            </w:r>
          </w:p>
        </w:tc>
        <w:tc>
          <w:tcPr>
            <w:tcW w:type="dxa" w:w="357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作成到模块、接口和资源预算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实现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确认范围没有扩大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编码、构建、看门狗与协议实现</w:t>
            </w:r>
          </w:p>
        </w:tc>
      </w:tr>
      <w:tr>
        <w:tc>
          <w:tcPr>
            <w:tcW w:type="dxa" w:w="226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结合测试与验证</w:t>
            </w:r>
          </w:p>
        </w:tc>
        <w:tc>
          <w:tcPr>
            <w:tcW w:type="dxa" w:w="351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立会、接收证据、判定接收</w:t>
            </w:r>
          </w:p>
        </w:tc>
        <w:tc>
          <w:tcPr>
            <w:tcW w:type="dxa" w:w="357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设计用例、实施、记录、缺陷修正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文档发行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批准发行版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版管理、中日两份同步</w:t>
            </w:r>
          </w:p>
        </w:tc>
      </w:tr>
      <w:tr>
        <w:tc>
          <w:tcPr>
            <w:tcW w:type="dxa" w:w="226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实机、串口、CAN 工具</w:t>
            </w:r>
          </w:p>
        </w:tc>
        <w:tc>
          <w:tcPr>
            <w:tcW w:type="dxa" w:w="3515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提供或书面确认由谁准备</w:t>
            </w:r>
          </w:p>
        </w:tc>
        <w:tc>
          <w:tcPr>
            <w:tcW w:type="dxa" w:w="3572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提出工具清单，在确认前不假定已有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进度与课题</w:t>
            </w:r>
          </w:p>
        </w:tc>
        <w:tc>
          <w:tcPr>
            <w:tcW w:type="dxa" w:w="3515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接收报告并答复未决事项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按 RXRA-PM-01 报告</w:t>
            </w:r>
          </w:p>
        </w:tc>
      </w:tr>
    </w:tbl>
    <w:p>
      <w:pPr>
        <w:spacing w:after="40"/>
      </w:pPr>
    </w:p>
    <w:p>
      <w:pPr>
        <w:pStyle w:val="Heading2"/>
      </w:pPr>
      <w:r>
        <w:t>7.1 名义</w:t>
      </w:r>
    </w:p>
    <w:p>
      <w:r>
        <w:rPr>
          <w:rFonts w:ascii="Calibri" w:hAnsi="Calibri" w:eastAsia="微软雅黑" w:cs="微软雅黑"/>
          <w:b w:val="0"/>
          <w:sz w:val="21"/>
        </w:rPr>
        <w:t>对外名义是组织，不是个人邮箱的显示名。乙方对外窗口和甲方窗口填在下表。人变更时改表并通知对方，不追溯修改已发行记录上的历史姓名。</w:t>
      </w:r>
    </w:p>
    <w:tbl>
      <w:tblPr>
        <w:tblW w:type="dxa" w:w="9353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2154"/>
        <w:gridCol w:w="1701"/>
        <w:gridCol w:w="2041"/>
        <w:gridCol w:w="1530"/>
      </w:tblGrid>
      <w:tr>
        <w:trPr>
          <w:tblHeader/>
        </w:trPr>
        <w:tc>
          <w:tcPr>
            <w:tcW w:type="dxa" w:w="192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窗口</w:t>
            </w:r>
          </w:p>
        </w:tc>
        <w:tc>
          <w:tcPr>
            <w:tcW w:type="dxa" w:w="215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组织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204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联系方式</w:t>
            </w:r>
          </w:p>
        </w:tc>
        <w:tc>
          <w:tcPr>
            <w:tcW w:type="dxa" w:w="1530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备份</w:t>
            </w:r>
          </w:p>
        </w:tc>
      </w:tr>
      <w:tr>
        <w:tc>
          <w:tcPr>
            <w:tcW w:type="dxa" w:w="192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甲方项目窗口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株式会社ベリサーブ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530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</w:tr>
      <w:tr>
        <w:tc>
          <w:tcPr>
            <w:tcW w:type="dxa" w:w="192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甲方验收窗口</w:t>
            </w:r>
          </w:p>
        </w:tc>
        <w:tc>
          <w:tcPr>
            <w:tcW w:type="dxa" w:w="215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株式会社ベリサーブ</w:t>
            </w:r>
          </w:p>
        </w:tc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204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530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</w:tr>
      <w:tr>
        <w:tc>
          <w:tcPr>
            <w:tcW w:type="dxa" w:w="192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乙方项目窗口</w:t>
            </w:r>
          </w:p>
        </w:tc>
        <w:tc>
          <w:tcPr>
            <w:tcW w:type="dxa" w:w="215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BREXA Technology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530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</w:tr>
      <w:tr>
        <w:tc>
          <w:tcPr>
            <w:tcW w:type="dxa" w:w="192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乙方技术窗口</w:t>
            </w:r>
          </w:p>
        </w:tc>
        <w:tc>
          <w:tcPr>
            <w:tcW w:type="dxa" w:w="215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BREXA Technology</w:t>
            </w:r>
          </w:p>
        </w:tc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204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  <w:tc>
          <w:tcPr>
            <w:tcW w:type="dxa" w:w="1530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</w:tr>
    </w:tbl>
    <w:p>
      <w:pPr>
        <w:spacing w:after="40"/>
      </w:pPr>
    </w:p>
    <w:p>
      <w:pPr>
        <w:pStyle w:val="Heading1"/>
      </w:pPr>
      <w:r>
        <w:t>8. 日程与工数</w:t>
      </w:r>
    </w:p>
    <w:p>
      <w:pPr>
        <w:spacing w:before="40" w:after="160"/>
        <w:shd w:val="clear" w:color="auto" w:fill="E8EEF4"/>
      </w:pPr>
      <w:r>
        <w:rPr>
          <w:rFonts w:ascii="Calibri" w:hAnsi="Calibri" w:eastAsia="微软雅黑" w:cs="微软雅黑"/>
          <w:b w:val="0"/>
          <w:color w:val="1F4E79"/>
          <w:sz w:val="18"/>
        </w:rPr>
        <w:t>下表的日历和人数是作业估算栏。在甲方书面确认前，不是合同工期，也不是报价承诺。确认后把确认日期写入修订记录。139 与 240 的算法、每条 story 的依据，以及和早期约 8.4–13.3 人月粗估的对照，写在 project_backlog.md 第 8 节。本框架不另算一套工数。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4989"/>
        <w:gridCol w:w="2438"/>
      </w:tblGrid>
      <w:tr>
        <w:trPr>
          <w:tblHeader/>
        </w:trPr>
        <w:tc>
          <w:tcPr>
            <w:tcW w:type="dxa" w:w="192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项</w:t>
            </w:r>
          </w:p>
        </w:tc>
        <w:tc>
          <w:tcPr>
            <w:tcW w:type="dxa" w:w="4989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作业估算</w:t>
            </w:r>
          </w:p>
        </w:tc>
        <w:tc>
          <w:tcPr>
            <w:tcW w:type="dxa" w:w="2438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甲方确认值</w:t>
            </w:r>
          </w:p>
        </w:tc>
      </w:tr>
      <w:tr>
        <w:tc>
          <w:tcPr>
            <w:tcW w:type="dxa" w:w="192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起始</w:t>
            </w:r>
          </w:p>
        </w:tc>
        <w:tc>
          <w:tcPr>
            <w:tcW w:type="dxa" w:w="4989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委托资料为 2026-11。作业计划的周一为 2026-11-02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</w:tr>
      <w:tr>
        <w:tc>
          <w:tcPr>
            <w:tcW w:type="dxa" w:w="192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迭代长度</w:t>
            </w:r>
          </w:p>
        </w:tc>
        <w:tc>
          <w:tcPr>
            <w:tcW w:type="dxa" w:w="4989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2 周</w:t>
            </w:r>
          </w:p>
        </w:tc>
        <w:tc>
          <w:tcPr>
            <w:tcW w:type="dxa" w:w="243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</w:tr>
      <w:tr>
        <w:tc>
          <w:tcPr>
            <w:tcW w:type="dxa" w:w="192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一人时的迭代负荷</w:t>
            </w:r>
          </w:p>
        </w:tc>
        <w:tc>
          <w:tcPr>
            <w:tcW w:type="dxa" w:w="4989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管理 2 人日，开发 6 人日，共有开销 2 人日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</w:tr>
      <w:tr>
        <w:tc>
          <w:tcPr>
            <w:tcW w:type="dxa" w:w="192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三人时的负荷</w:t>
            </w:r>
          </w:p>
        </w:tc>
        <w:tc>
          <w:tcPr>
            <w:tcW w:type="dxa" w:w="4989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A：管理 3、开发 5、共有 2。B 与 C：各开发 8、共有 2。A 即一人配置时的执行者</w:t>
            </w:r>
          </w:p>
        </w:tc>
        <w:tc>
          <w:tcPr>
            <w:tcW w:type="dxa" w:w="243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</w:tr>
      <w:tr>
        <w:tc>
          <w:tcPr>
            <w:tcW w:type="dxa" w:w="192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故事工作量</w:t>
            </w:r>
          </w:p>
        </w:tc>
        <w:tc>
          <w:tcPr>
            <w:tcW w:type="dxa" w:w="4989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139 人日。见 project_backlog。人数改变日历，不把同一工作乘人头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</w:tr>
      <w:tr>
        <w:tc>
          <w:tcPr>
            <w:tcW w:type="dxa" w:w="192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系统测试底稿</w:t>
            </w:r>
          </w:p>
        </w:tc>
        <w:tc>
          <w:tcPr>
            <w:tcW w:type="dxa" w:w="4989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18.5 人日。见 system_test_design。看门狗两项从回归余量支取</w:t>
            </w:r>
          </w:p>
        </w:tc>
        <w:tc>
          <w:tcPr>
            <w:tcW w:type="dxa" w:w="243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</w:tr>
      <w:tr>
        <w:tc>
          <w:tcPr>
            <w:tcW w:type="dxa" w:w="192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报价口径</w:t>
            </w:r>
          </w:p>
        </w:tc>
        <w:tc>
          <w:tcPr>
            <w:tcW w:type="dxa" w:w="4989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人数 × 迭代数 × 10 人日。确认前不在本框架写死金额</w:t>
            </w:r>
          </w:p>
        </w:tc>
        <w:tc>
          <w:tcPr>
            <w:tcW w:type="dxa" w:w="243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（填写）</w:t>
            </w:r>
          </w:p>
        </w:tc>
      </w:tr>
    </w:tbl>
    <w:p>
      <w:pPr>
        <w:spacing w:after="40"/>
      </w:pPr>
    </w:p>
    <w:p>
      <w:pPr>
        <w:pStyle w:val="Heading2"/>
      </w:pPr>
      <w:r>
        <w:t>8.1 进度状态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654"/>
      </w:tblGrid>
      <w:tr>
        <w:trPr>
          <w:tblHeader/>
        </w:trPr>
        <w:tc>
          <w:tcPr>
            <w:tcW w:type="dxa" w:w="170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765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未开始</w:t>
            </w:r>
          </w:p>
        </w:tc>
        <w:tc>
          <w:tcPr>
            <w:tcW w:type="dxa" w:w="765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前提未满足</w:t>
            </w:r>
          </w:p>
        </w:tc>
      </w:tr>
      <w:tr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进行中</w:t>
            </w:r>
          </w:p>
        </w:tc>
        <w:tc>
          <w:tcPr>
            <w:tcW w:type="dxa" w:w="765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本迭代承诺的作业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完成</w:t>
            </w:r>
          </w:p>
        </w:tc>
        <w:tc>
          <w:tcPr>
            <w:tcW w:type="dxa" w:w="765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该故事的关门条件已满足并有记录</w:t>
            </w:r>
          </w:p>
        </w:tc>
      </w:tr>
      <w:tr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阻塞</w:t>
            </w:r>
          </w:p>
        </w:tc>
        <w:tc>
          <w:tcPr>
            <w:tcW w:type="dxa" w:w="765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等待甲方、实机或缺陷。写明编号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移出</w:t>
            </w:r>
          </w:p>
        </w:tc>
        <w:tc>
          <w:tcPr>
            <w:tcW w:type="dxa" w:w="765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经变更单移出本阶段</w:t>
            </w:r>
          </w:p>
        </w:tc>
      </w:tr>
    </w:tbl>
    <w:p>
      <w:pPr>
        <w:spacing w:after="40"/>
      </w:pPr>
    </w:p>
    <w:p>
      <w:pPr>
        <w:pStyle w:val="Heading1"/>
      </w:pPr>
      <w:r>
        <w:t>9. 沟通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494"/>
        <w:gridCol w:w="2268"/>
        <w:gridCol w:w="2778"/>
      </w:tblGrid>
      <w:tr>
        <w:trPr>
          <w:tblHeader/>
        </w:trPr>
        <w:tc>
          <w:tcPr>
            <w:tcW w:type="dxa" w:w="181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场合</w:t>
            </w:r>
          </w:p>
        </w:tc>
        <w:tc>
          <w:tcPr>
            <w:tcW w:type="dxa" w:w="249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频率</w:t>
            </w:r>
          </w:p>
        </w:tc>
        <w:tc>
          <w:tcPr>
            <w:tcW w:type="dxa" w:w="2268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参加者</w:t>
            </w:r>
          </w:p>
        </w:tc>
        <w:tc>
          <w:tcPr>
            <w:tcW w:type="dxa" w:w="2778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留下什么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进度例会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（填写。建议每周一次）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双方窗口</w:t>
            </w:r>
          </w:p>
        </w:tc>
        <w:tc>
          <w:tcPr>
            <w:tcW w:type="dxa" w:w="277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决议、未决、下次日期</w:t>
            </w:r>
          </w:p>
        </w:tc>
      </w:tr>
      <w:tr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技术问答</w:t>
            </w:r>
          </w:p>
        </w:tc>
        <w:tc>
          <w:tcPr>
            <w:tcW w:type="dxa" w:w="249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发生时</w:t>
            </w:r>
          </w:p>
        </w:tc>
        <w:tc>
          <w:tcPr>
            <w:tcW w:type="dxa" w:w="226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技术窗口</w:t>
            </w:r>
          </w:p>
        </w:tc>
        <w:tc>
          <w:tcPr>
            <w:tcW w:type="dxa" w:w="277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影响要求的答复写入 Q 或变更单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评审会</w:t>
            </w:r>
          </w:p>
        </w:tc>
        <w:tc>
          <w:tcPr>
            <w:tcW w:type="dxa" w:w="249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每个正式文件提交时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评审栏中的角色</w:t>
            </w:r>
          </w:p>
        </w:tc>
        <w:tc>
          <w:tcPr>
            <w:tcW w:type="dxa" w:w="277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意见清单与关闭结果</w:t>
            </w:r>
          </w:p>
        </w:tc>
      </w:tr>
      <w:tr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升级</w:t>
            </w:r>
          </w:p>
        </w:tc>
        <w:tc>
          <w:tcPr>
            <w:tcW w:type="dxa" w:w="249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窗口五个工作日不能决定时</w:t>
            </w:r>
          </w:p>
        </w:tc>
        <w:tc>
          <w:tcPr>
            <w:tcW w:type="dxa" w:w="226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（填写上级）</w:t>
            </w:r>
          </w:p>
        </w:tc>
        <w:tc>
          <w:tcPr>
            <w:tcW w:type="dxa" w:w="277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升级记录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 w:cs="微软雅黑"/>
          <w:b w:val="0"/>
          <w:sz w:val="21"/>
        </w:rPr>
        <w:t>工作语言：（填写。建议技术记录中日并列提交，会议语言由双方窗口约定）。会议不代替书面未决事项。</w:t>
      </w:r>
    </w:p>
    <w:p>
      <w:pPr>
        <w:pStyle w:val="Heading1"/>
      </w:pPr>
      <w:r>
        <w:t>10. 变更</w:t>
      </w:r>
    </w:p>
    <w:p>
      <w:r>
        <w:rPr>
          <w:rFonts w:ascii="Calibri" w:hAnsi="Calibri" w:eastAsia="微软雅黑" w:cs="微软雅黑"/>
          <w:b w:val="0"/>
          <w:sz w:val="21"/>
        </w:rPr>
        <w:t>下列事项走变更单：已确认要求的增删、接口不变式、接收准则、里程碑、双方责任、已批准文件的技术结论。笔误和措辞澄清记入修订记录即可。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804"/>
      </w:tblGrid>
      <w:tr>
        <w:trPr>
          <w:tblHeader/>
        </w:trPr>
        <w:tc>
          <w:tcPr>
            <w:tcW w:type="dxa" w:w="255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栏</w:t>
            </w:r>
          </w:p>
        </w:tc>
        <w:tc>
          <w:tcPr>
            <w:tcW w:type="dxa" w:w="680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变更编号</w:t>
            </w:r>
          </w:p>
        </w:tc>
        <w:tc>
          <w:tcPr>
            <w:tcW w:type="dxa" w:w="680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CR-序号</w:t>
            </w:r>
          </w:p>
        </w:tc>
      </w:tr>
      <w:tr>
        <w:tc>
          <w:tcPr>
            <w:tcW w:type="dxa" w:w="255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提出方</w:t>
            </w:r>
          </w:p>
        </w:tc>
        <w:tc>
          <w:tcPr>
            <w:tcW w:type="dxa" w:w="680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甲方或乙方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对象</w:t>
            </w:r>
          </w:p>
        </w:tc>
        <w:tc>
          <w:tcPr>
            <w:tcW w:type="dxa" w:w="680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要求编号、文件、里程碑</w:t>
            </w:r>
          </w:p>
        </w:tc>
      </w:tr>
      <w:tr>
        <w:tc>
          <w:tcPr>
            <w:tcW w:type="dxa" w:w="255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变更前 / 变更后</w:t>
            </w:r>
          </w:p>
        </w:tc>
        <w:tc>
          <w:tcPr>
            <w:tcW w:type="dxa" w:w="680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对日程、工数、测试的影响</w:t>
            </w:r>
          </w:p>
        </w:tc>
        <w:tc>
          <w:tcPr>
            <w:tcW w:type="dxa" w:w="680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  <w:tr>
        <w:tc>
          <w:tcPr>
            <w:tcW w:type="dxa" w:w="255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决定</w:t>
            </w:r>
          </w:p>
        </w:tc>
        <w:tc>
          <w:tcPr>
            <w:tcW w:type="dxa" w:w="680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接受、拒绝、延期。决定人与日期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 w:cs="微软雅黑"/>
          <w:b w:val="0"/>
          <w:sz w:val="21"/>
        </w:rPr>
        <w:t>变更在决定前，实施仍按原基线。乙方可以评估，但不把未决定的变更做进对外演示并称为已交付。</w:t>
      </w:r>
    </w:p>
    <w:p>
      <w:pPr>
        <w:pStyle w:val="Heading1"/>
      </w:pPr>
      <w:r>
        <w:t>11. 课题与风险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087"/>
      </w:tblGrid>
      <w:tr>
        <w:trPr>
          <w:tblHeader/>
        </w:trPr>
        <w:tc>
          <w:tcPr>
            <w:tcW w:type="dxa" w:w="2268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栏</w:t>
            </w:r>
          </w:p>
        </w:tc>
        <w:tc>
          <w:tcPr>
            <w:tcW w:type="dxa" w:w="708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ISS-序号，或 RSK-序号</w:t>
            </w:r>
          </w:p>
        </w:tc>
      </w:tr>
      <w:tr>
        <w:tc>
          <w:tcPr>
            <w:tcW w:type="dxa" w:w="226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描述</w:t>
            </w:r>
          </w:p>
        </w:tc>
        <w:tc>
          <w:tcPr>
            <w:tcW w:type="dxa" w:w="708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事实，不含指责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影响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范围、日程、质量、安全</w:t>
            </w:r>
          </w:p>
        </w:tc>
      </w:tr>
      <w:tr>
        <w:tc>
          <w:tcPr>
            <w:tcW w:type="dxa" w:w="226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负责人 / 期限</w:t>
            </w:r>
          </w:p>
        </w:tc>
        <w:tc>
          <w:tcPr>
            <w:tcW w:type="dxa" w:w="708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应对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  <w:tr>
        <w:tc>
          <w:tcPr>
            <w:tcW w:type="dxa" w:w="2268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状态</w:t>
            </w:r>
          </w:p>
        </w:tc>
        <w:tc>
          <w:tcPr>
            <w:tcW w:type="dxa" w:w="708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打开、监视、关闭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 w:cs="微软雅黑"/>
          <w:b w:val="0"/>
          <w:sz w:val="21"/>
        </w:rPr>
        <w:t>打开超过两周的课题必须出现在下一次进度报告里。关闭时写结果，不删除原行。</w:t>
      </w:r>
    </w:p>
    <w:p>
      <w:pPr>
        <w:pStyle w:val="Heading1"/>
      </w:pPr>
      <w:r>
        <w:t>12. 质量与构建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协议或 PC 行为变化时，先有失败检查，再改实现。入口命令是 ci/pipeline.ps1 的 protocol 与 host。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触及固件时，对应板的 Debug 构建通过。迭代最后一个相关故事再跑 Release。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实机记录按 RXRA-IT-01。没有实机记录的功能，不在进度里标成完成。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GitHub 上的工作流是可选入口。不能使用 GitHub 时，仍以本地流水线为同一套检查，不另写一套构建步骤。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看门狗、资源占用和中日文档同步，是完成的条件，不是事后整理。</w:t>
      </w:r>
    </w:p>
    <w:p>
      <w:pPr>
        <w:pStyle w:val="Heading1"/>
      </w:pPr>
      <w:r>
        <w:t>13. 报告</w:t>
      </w:r>
    </w:p>
    <w:p>
      <w:pPr>
        <w:pStyle w:val="Heading2"/>
      </w:pPr>
      <w:r>
        <w:t>13.1 进度报告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804"/>
      </w:tblGrid>
      <w:tr>
        <w:trPr>
          <w:tblHeader/>
        </w:trPr>
        <w:tc>
          <w:tcPr>
            <w:tcW w:type="dxa" w:w="255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栏</w:t>
            </w:r>
          </w:p>
        </w:tc>
        <w:tc>
          <w:tcPr>
            <w:tcW w:type="dxa" w:w="680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期间</w:t>
            </w:r>
          </w:p>
        </w:tc>
        <w:tc>
          <w:tcPr>
            <w:tcW w:type="dxa" w:w="680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  <w:tr>
        <w:tc>
          <w:tcPr>
            <w:tcW w:type="dxa" w:w="255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完成的故事或文件</w:t>
            </w:r>
          </w:p>
        </w:tc>
        <w:tc>
          <w:tcPr>
            <w:tcW w:type="dxa" w:w="680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编号与证据位置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下一期间承诺</w:t>
            </w:r>
          </w:p>
        </w:tc>
        <w:tc>
          <w:tcPr>
            <w:tcW w:type="dxa" w:w="680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  <w:tr>
        <w:tc>
          <w:tcPr>
            <w:tcW w:type="dxa" w:w="255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阻塞与需要甲方决定的事</w:t>
            </w:r>
          </w:p>
        </w:tc>
        <w:tc>
          <w:tcPr>
            <w:tcW w:type="dxa" w:w="680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Q、CR、ISS 编号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缺陷概况</w:t>
            </w:r>
          </w:p>
        </w:tc>
        <w:tc>
          <w:tcPr>
            <w:tcW w:type="dxa" w:w="680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新开、关闭、遗留</w:t>
            </w:r>
          </w:p>
        </w:tc>
      </w:tr>
      <w:tr>
        <w:tc>
          <w:tcPr>
            <w:tcW w:type="dxa" w:w="255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基线</w:t>
            </w:r>
          </w:p>
        </w:tc>
        <w:tc>
          <w:tcPr>
            <w:tcW w:type="dxa" w:w="680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分支与提交标识</w:t>
            </w:r>
          </w:p>
        </w:tc>
      </w:tr>
    </w:tbl>
    <w:p>
      <w:pPr>
        <w:spacing w:after="40"/>
      </w:pPr>
    </w:p>
    <w:p>
      <w:pPr>
        <w:pStyle w:val="Heading2"/>
      </w:pPr>
      <w:r>
        <w:t>13.2 提交物检查</w:t>
      </w:r>
    </w:p>
    <w:tbl>
      <w:tblPr>
        <w:tblW w:type="dxa" w:w="9355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371"/>
      </w:tblGrid>
      <w:tr>
        <w:trPr>
          <w:tblHeader/>
        </w:trPr>
        <w:tc>
          <w:tcPr>
            <w:tcW w:type="dxa" w:w="198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检查</w:t>
            </w:r>
          </w:p>
        </w:tc>
        <w:tc>
          <w:tcPr>
            <w:tcW w:type="dxa" w:w="737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通过条件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语言</w:t>
            </w:r>
          </w:p>
        </w:tc>
        <w:tc>
          <w:tcPr>
            <w:tcW w:type="dxa" w:w="737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中日两份章节号一致，或明确标成单语底稿</w:t>
            </w:r>
          </w:p>
        </w:tc>
      </w:tr>
      <w:tr>
        <w:tc>
          <w:tcPr>
            <w:tcW w:type="dxa" w:w="198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批准</w:t>
            </w:r>
          </w:p>
        </w:tc>
        <w:tc>
          <w:tcPr>
            <w:tcW w:type="dxa" w:w="737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对甲方称为发行版的文件，批准栏已签署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追踪</w:t>
            </w:r>
          </w:p>
        </w:tc>
        <w:tc>
          <w:tcPr>
            <w:tcW w:type="dxa" w:w="737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本阶段 Must 在 BD 与 IT 之间没有空编号</w:t>
            </w:r>
          </w:p>
        </w:tc>
      </w:tr>
      <w:tr>
        <w:tc>
          <w:tcPr>
            <w:tcW w:type="dxa" w:w="198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构建</w:t>
            </w:r>
          </w:p>
        </w:tc>
        <w:tc>
          <w:tcPr>
            <w:tcW w:type="dxa" w:w="737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报告中的提交标识能再现该次构建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秘密</w:t>
            </w:r>
          </w:p>
        </w:tc>
        <w:tc>
          <w:tcPr>
            <w:tcW w:type="dxa" w:w="737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提交物中没有口令和私钥</w:t>
            </w:r>
          </w:p>
        </w:tc>
      </w:tr>
    </w:tbl>
    <w:p>
      <w:pPr>
        <w:spacing w:after="40"/>
      </w:pPr>
    </w:p>
    <w:p>
      <w:pPr>
        <w:pStyle w:val="Heading1"/>
      </w:pPr>
      <w:r>
        <w:t>14. 评审要点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正式文件和底稿的分工没有两套互相矛盾的结论。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合同形态未定时，责任表没有被写成已经生效。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工数栏区分作业估算和甲方确认值。</w:t>
      </w:r>
    </w:p>
    <w:p>
      <w:pPr>
        <w:spacing w:after="40"/>
        <w:ind w:left="425"/>
      </w:pPr>
      <w:r>
        <w:rPr>
          <w:rFonts w:ascii="Calibri" w:hAnsi="Calibri" w:eastAsia="微软雅黑" w:cs="微软雅黑"/>
          <w:b w:val="0"/>
          <w:sz w:val="21"/>
        </w:rPr>
        <w:t>・ 变更单存在时，进度承诺没有悄悄包含未批准的范围。</w:t>
      </w:r>
    </w:p>
    <w:p>
      <w:pPr>
        <w:pStyle w:val="Heading1"/>
      </w:pPr>
      <w:r>
        <w:t>批准</w:t>
      </w:r>
    </w:p>
    <w:p>
      <w:r>
        <w:rPr>
          <w:rFonts w:ascii="Calibri" w:hAnsi="Calibri" w:eastAsia="微软雅黑" w:cs="微软雅黑"/>
          <w:b w:val="0"/>
          <w:sz w:val="21"/>
        </w:rPr>
        <w:t>作成与评审由乙方执行。发行批准由甲方执行。姓名由本人签署，本框架不预填。</w:t>
      </w:r>
    </w:p>
    <w:tbl>
      <w:tblPr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551"/>
        <w:gridCol w:w="1814"/>
        <w:gridCol w:w="1587"/>
        <w:gridCol w:w="1701"/>
      </w:tblGrid>
      <w:tr>
        <w:trPr>
          <w:tblHeader/>
        </w:trPr>
        <w:tc>
          <w:tcPr>
            <w:tcW w:type="dxa" w:w="170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55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组织</w:t>
            </w:r>
          </w:p>
        </w:tc>
        <w:tc>
          <w:tcPr>
            <w:tcW w:type="dxa" w:w="1814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1587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701"/>
            <w:shd w:val="clear" w:color="auto" w:fill="1F4E79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微软雅黑" w:cs="微软雅黑"/>
                <w:b/>
                <w:color w:val="FFFFFF"/>
                <w:sz w:val="18"/>
              </w:rPr>
              <w:t>签字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作成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BREXA Technology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  <w:tr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乙方评审</w:t>
            </w:r>
          </w:p>
        </w:tc>
        <w:tc>
          <w:tcPr>
            <w:tcW w:type="dxa" w:w="255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BREXA Technology</w:t>
            </w:r>
          </w:p>
        </w:tc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  <w:tc>
          <w:tcPr>
            <w:tcW w:type="dxa" w:w="158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甲方评审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株式会社ベリサーブ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  <w:tr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批准</w:t>
            </w:r>
          </w:p>
        </w:tc>
        <w:tc>
          <w:tcPr>
            <w:tcW w:type="dxa" w:w="255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  <w:t>株式会社ベリサーブ</w:t>
            </w:r>
          </w:p>
        </w:tc>
        <w:tc>
          <w:tcPr>
            <w:tcW w:type="dxa" w:w="1814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  <w:tc>
          <w:tcPr>
            <w:tcW w:type="dxa" w:w="1587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  <w:tc>
          <w:tcPr>
            <w:tcW w:type="dxa" w:w="1701"/>
            <w:shd w:val="clear" w:color="auto" w:fill="F7F9FB"/>
            <w:tcBorders>
              <w:top w:val="single" w:sz="4" w:space="0" w:color="BFCBD9"/>
              <w:left w:val="single" w:sz="4" w:space="0" w:color="BFCBD9"/>
              <w:bottom w:val="single" w:sz="4" w:space="0" w:color="BFCBD9"/>
              <w:right w:val="single" w:sz="4" w:space="0" w:color="BFCBD9"/>
            </w:tcBorders>
          </w:tcPr>
          <w:p>
            <w:pPr>
              <w:spacing w:before="20" w:after="20" w:line="252" w:lineRule="auto"/>
            </w:pPr>
            <w:r>
              <w:rPr>
                <w:rFonts w:ascii="Calibri" w:hAnsi="Calibri" w:eastAsia="微软雅黑" w:cs="微软雅黑"/>
                <w:b w:val="0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20" w:right="1020" w:bottom="964" w:left="1020" w:header="34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eastAsia="微软雅黑" w:cs="微软雅黑"/>
        <w:b w:val="0"/>
        <w:color w:val="5B6770"/>
        <w:sz w:val="16"/>
      </w:rPr>
      <w:t xml:space="preserve">仅限相关方  ·  甲方 株式会社ベリサーブ  ·  乙方 BREXA Technology    </w:t>
    </w:r>
    <w:r>
      <w:rPr>
        <w:rFonts w:ascii="Calibri" w:hAnsi="Calibri" w:eastAsia="微软雅黑" w:cs="微软雅黑"/>
        <w:b w:val="0"/>
        <w:color w:val="5B6770"/>
        <w:sz w:val="16"/>
      </w:rPr>
      <w:fldChar w:fldCharType="begin"/>
      <w:instrText xml:space="preserve"> PAGE </w:instrText>
      <w:fldChar w:fldCharType="end"/>
    </w:r>
    <w:r>
      <w:rPr>
        <w:rFonts w:ascii="Calibri" w:hAnsi="Calibri" w:eastAsia="微软雅黑" w:cs="微软雅黑"/>
        <w:b w:val="0"/>
        <w:color w:val="5B6770"/>
        <w:sz w:val="16"/>
      </w:rPr>
      <w:t xml:space="preserve"> / </w:t>
    </w:r>
    <w:r>
      <w:rPr>
        <w:rFonts w:ascii="Calibri" w:hAnsi="Calibri" w:eastAsia="微软雅黑" w:cs="微软雅黑"/>
        <w:b w:val="0"/>
        <w:color w:val="5B6770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微软雅黑" w:cs="微软雅黑"/>
        <w:b w:val="0"/>
        <w:color w:val="5B6770"/>
        <w:sz w:val="16"/>
      </w:rPr>
      <w:t>RXRA-PM-01  |  文档与项目管理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微软雅黑"/>
      <w:b w:val="0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文档与项目管理</dc:title>
  <dc:subject>RXRA-PM-01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BREXA Technology / 株式会社ベリサーブ</cp:category>
  <dc:language>zh-CN</dc:language>
</cp:coreProperties>
</file>