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left"/>
      </w:pPr>
      <w:r>
        <w:rPr>
          <w:rFonts w:ascii="Calibri" w:hAnsi="Calibri" w:eastAsia="微软雅黑" w:cs="微软雅黑"/>
          <w:b/>
          <w:color w:val="1F4E79"/>
          <w:sz w:val="24"/>
        </w:rPr>
        <w:t>BREXA Technology</w:t>
      </w:r>
    </w:p>
    <w:p>
      <w:r>
        <w:rPr>
          <w:rFonts w:ascii="Calibri" w:hAnsi="Calibri" w:eastAsia="微软雅黑" w:cs="微软雅黑"/>
          <w:b w:val="0"/>
          <w:color w:val="5B6770"/>
          <w:sz w:val="22"/>
        </w:rPr>
        <w:t>标准文档框架</w:t>
      </w:r>
    </w:p>
    <w:p>
      <w:pPr>
        <w:spacing w:before="360"/>
      </w:pPr>
      <w:r>
        <w:rPr>
          <w:rFonts w:ascii="Calibri" w:hAnsi="Calibri" w:eastAsia="微软雅黑" w:cs="微软雅黑"/>
          <w:b/>
          <w:color w:val="1F4E79"/>
          <w:sz w:val="24"/>
        </w:rPr>
        <w:t>RXRA-BD-01</w:t>
      </w:r>
    </w:p>
    <w:p>
      <w:r>
        <w:rPr>
          <w:rFonts w:ascii="Calibri" w:hAnsi="Calibri" w:eastAsia="微软雅黑" w:cs="微软雅黑"/>
          <w:b/>
          <w:color w:val="12263A"/>
          <w:sz w:val="44"/>
        </w:rPr>
        <w:t>要求分析与基本设计</w:t>
      </w:r>
    </w:p>
    <w:p>
      <w:r>
        <w:rPr>
          <w:rFonts w:ascii="Calibri" w:hAnsi="Calibri" w:eastAsia="微软雅黑" w:cs="微软雅黑"/>
          <w:b w:val="0"/>
          <w:color w:val="334155"/>
          <w:sz w:val="24"/>
        </w:rPr>
        <w:t>Renesas RX71M / RA8P 嵌入式软件与 PC 上位机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4"/>
      </w:tblGrid>
      <w:tr>
        <w:trPr>
          <w:tblHeader/>
        </w:trPr>
        <w:tc>
          <w:tcPr>
            <w:tcW w:type="dxa" w:w="238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7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文档编号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RXRA-BD-01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文档状态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0.1 草案（框架）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发行日期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2026-10-03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甲方（委托方）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株式会社ベリサーブ（VeriServe Corporation）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乙方（受托方）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株式会社BREXA Technology（BREXA Technology）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作成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乙方担当。署名栏留空，不代填个人姓名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项目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Renesas RX71M / RA8P 嵌入式软件、HL1 协议、PC 上位机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合同形态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填写。委托资料中为派遣或准委任，尚未在本框架中选定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语言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中文。日文版章节号与本文件相同，两份不混写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密级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仅限相关方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 w:cs="微软雅黑"/>
          <w:b w:val="0"/>
          <w:sz w:val="21"/>
        </w:rPr>
        <w:t>本文件是对甲方提交用的章节框架。仓库中的 Markdown 是作业底稿。栏位标有「填写」的，在评审前补齐。技术结论经本文件的批准栏签字后，才作为该主题的发行版。</w:t>
      </w:r>
    </w:p>
    <w:p>
      <w:pPr>
        <w:pStyle w:val="Heading1"/>
      </w:pPr>
      <w:r>
        <w:t>修订记录</w:t>
      </w:r>
    </w:p>
    <w:p>
      <w:pPr>
        <w:spacing w:before="40" w:after="160"/>
        <w:shd w:val="clear" w:color="auto" w:fill="E8EEF4"/>
      </w:pPr>
      <w:r>
        <w:rPr>
          <w:rFonts w:ascii="Calibri" w:hAnsi="Calibri" w:eastAsia="微软雅黑" w:cs="微软雅黑"/>
          <w:b w:val="0"/>
          <w:color w:val="1F4E79"/>
          <w:sz w:val="18"/>
        </w:rPr>
        <w:t>只追加行，不涂改已发行的行。批准后的版本号从 1.0 起。框架期间使用 0.x。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474"/>
        <w:gridCol w:w="2041"/>
        <w:gridCol w:w="3288"/>
        <w:gridCol w:w="1417"/>
      </w:tblGrid>
      <w:tr>
        <w:trPr>
          <w:tblHeader/>
        </w:trPr>
        <w:tc>
          <w:tcPr>
            <w:tcW w:type="dxa" w:w="113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47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04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作者</w:t>
            </w:r>
          </w:p>
        </w:tc>
        <w:tc>
          <w:tcPr>
            <w:tcW w:type="dxa" w:w="328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变更说明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甲方确认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0.1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2026-10-03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BREXA Technology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建立标准框架。技术正文尚未批准。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未确认</w:t>
            </w:r>
          </w:p>
        </w:tc>
      </w:tr>
      <w:tr>
        <w:tc>
          <w:tcPr>
            <w:tcW w:type="dxa" w:w="113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20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328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41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目录</w:t>
      </w:r>
    </w:p>
    <w:p>
      <w:r>
        <w:fldChar w:fldCharType="begin"/>
        <w:instrText xml:space="preserve"> TOC \o "1-2" \h \z \u </w:instrText>
        <w:fldChar w:fldCharType="separate"/>
      </w:r>
      <w:r>
        <w:rPr>
          <w:rFonts w:ascii="Calibri" w:hAnsi="Calibri" w:eastAsia="微软雅黑" w:cs="微软雅黑"/>
          <w:b w:val="0"/>
          <w:color w:val="5B6770"/>
          <w:sz w:val="21"/>
        </w:rPr>
        <w:t>打开本文件时若 Word 询问是否更新域，请选择更新。也可在目录上右键，选择更新域。</w:t>
      </w:r>
      <w:r>
        <w:fldChar w:fldCharType="end"/>
      </w:r>
    </w:p>
    <w:p>
      <w:pPr>
        <w:pStyle w:val="Heading1"/>
      </w:pPr>
      <w:r>
        <w:t>1. 目的</w:t>
      </w:r>
    </w:p>
    <w:p>
      <w:r>
        <w:rPr>
          <w:rFonts w:ascii="Calibri" w:hAnsi="Calibri" w:eastAsia="微软雅黑" w:cs="微软雅黑"/>
          <w:b w:val="0"/>
          <w:sz w:val="21"/>
        </w:rPr>
        <w:t>本文件把委托要求整理成可以验收的条目，并给出基本设计。基本设计说明系统由哪些部分组成、各部分的责任、对外接口和资源预算。寄存器、函数和报文位定义不写在这里。</w:t>
      </w:r>
    </w:p>
    <w:p>
      <w:pPr>
        <w:spacing w:before="40" w:after="160"/>
        <w:shd w:val="clear" w:color="auto" w:fill="E8EEF4"/>
      </w:pPr>
      <w:r>
        <w:rPr>
          <w:rFonts w:ascii="Calibri" w:hAnsi="Calibri" w:eastAsia="微软雅黑" w:cs="微软雅黑"/>
          <w:b w:val="0"/>
          <w:color w:val="1F4E79"/>
          <w:sz w:val="18"/>
        </w:rPr>
        <w:t>填写规则：每一条要求有编号、出处、验收方法和状态。没有出处的句子不写成要求。基本设计的每一节能指回要求编号。</w:t>
      </w:r>
    </w:p>
    <w:p>
      <w:pPr>
        <w:pStyle w:val="Heading1"/>
      </w:pPr>
      <w:r>
        <w:t>2. 适用范围</w:t>
      </w:r>
    </w:p>
    <w:p>
      <w:r>
        <w:rPr>
          <w:rFonts w:ascii="Calibri" w:hAnsi="Calibri" w:eastAsia="微软雅黑" w:cs="微软雅黑"/>
          <w:b w:val="0"/>
          <w:sz w:val="21"/>
        </w:rPr>
        <w:t>适用对象是 RX71M 固件、RA8P 固件、共用 HL1 协议，以及 PC 上位机。两块板是同一协议下的两种实现，不是两套无关产品。</w:t>
      </w:r>
    </w:p>
    <w:p>
      <w:pPr>
        <w:pStyle w:val="Heading2"/>
      </w:pPr>
      <w:r>
        <w:t>2.1 包含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要求的识别、分类、优先顺序和未决事项。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系统结构、任务、模块划分、外部接口索引、错误与看门狗策略、存储器和时钟预算。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要求到设计和测试编号的追踪栏。</w:t>
      </w:r>
    </w:p>
    <w:p>
      <w:pPr>
        <w:pStyle w:val="Heading2"/>
      </w:pPr>
      <w:r>
        <w:t>2.2 不包含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详细设计。函数级说明留在源码注释。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HL1 与 protobuf 的位定义。详细规格是 host_link_protocol.md 与日文版，本文件只保留接口索引。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结合测试的步骤与判定。那是 RXRA-IT-01。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进度、工数和文档发行手续。那是 RXRA-PM-01。</w:t>
      </w:r>
    </w:p>
    <w:p>
      <w:pPr>
        <w:pStyle w:val="Heading1"/>
      </w:pPr>
      <w:r>
        <w:t>3. 引用文件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4139"/>
        <w:gridCol w:w="3969"/>
      </w:tblGrid>
      <w:tr>
        <w:trPr>
          <w:tblHeader/>
        </w:trPr>
        <w:tc>
          <w:tcPr>
            <w:tcW w:type="dxa" w:w="124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139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969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与本章的关系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IN-01</w:t>
            </w:r>
          </w:p>
        </w:tc>
        <w:tc>
          <w:tcPr>
            <w:tcW w:type="dxa" w:w="4139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doc/embedded_system_requirements.md 及日文版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委托要求的原文。本文件的要求条目从这里整理，不把原文整段搬入</w:t>
            </w:r>
          </w:p>
        </w:tc>
      </w:tr>
      <w:tr>
        <w:tc>
          <w:tcPr>
            <w:tcW w:type="dxa" w:w="124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IN-02</w:t>
            </w:r>
          </w:p>
        </w:tc>
        <w:tc>
          <w:tcPr>
            <w:tcW w:type="dxa" w:w="4139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doc/software_architecture.md 及日文版</w:t>
            </w:r>
          </w:p>
        </w:tc>
        <w:tc>
          <w:tcPr>
            <w:tcW w:type="dxa" w:w="3969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现行实现的结构底稿，供第 7 章归纳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IN-03</w:t>
            </w:r>
          </w:p>
        </w:tc>
        <w:tc>
          <w:tcPr>
            <w:tcW w:type="dxa" w:w="4139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doc/host_link_protocol.md 及日文版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外部接口的详细规格</w:t>
            </w:r>
          </w:p>
        </w:tc>
      </w:tr>
      <w:tr>
        <w:tc>
          <w:tcPr>
            <w:tcW w:type="dxa" w:w="124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IN-04</w:t>
            </w:r>
          </w:p>
        </w:tc>
        <w:tc>
          <w:tcPr>
            <w:tcW w:type="dxa" w:w="4139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doc/workspace_layout.md、doc/mcu_resource_map.md</w:t>
            </w:r>
          </w:p>
        </w:tc>
        <w:tc>
          <w:tcPr>
            <w:tcW w:type="dxa" w:w="3969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存储器、时钟、引脚与占用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IN-05</w:t>
            </w:r>
          </w:p>
        </w:tc>
        <w:tc>
          <w:tcPr>
            <w:tcW w:type="dxa" w:w="4139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doc/protocol_change_workflow.md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协议变更时基本设计索引如何跟着改</w:t>
            </w:r>
          </w:p>
        </w:tc>
      </w:tr>
      <w:tr>
        <w:tc>
          <w:tcPr>
            <w:tcW w:type="dxa" w:w="124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IN-06</w:t>
            </w:r>
          </w:p>
        </w:tc>
        <w:tc>
          <w:tcPr>
            <w:tcW w:type="dxa" w:w="4139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RXRA-IT-01、RXRA-PM-01</w:t>
            </w:r>
          </w:p>
        </w:tc>
        <w:tc>
          <w:tcPr>
            <w:tcW w:type="dxa" w:w="3969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测试与项目管理。本文件不重复其手续</w:t>
            </w:r>
          </w:p>
        </w:tc>
      </w:tr>
    </w:tbl>
    <w:p>
      <w:pPr>
        <w:spacing w:after="40"/>
      </w:pPr>
    </w:p>
    <w:p>
      <w:pPr>
        <w:pStyle w:val="Heading1"/>
      </w:pPr>
      <w:r>
        <w:t>4. 术语</w:t>
      </w:r>
    </w:p>
    <w:p>
      <w:pPr>
        <w:spacing w:before="40" w:after="160"/>
        <w:shd w:val="clear" w:color="auto" w:fill="E8EEF4"/>
      </w:pPr>
      <w:r>
        <w:rPr>
          <w:rFonts w:ascii="Calibri" w:hAnsi="Calibri" w:eastAsia="微软雅黑" w:cs="微软雅黑"/>
          <w:b w:val="0"/>
          <w:color w:val="1F4E79"/>
          <w:sz w:val="18"/>
        </w:rPr>
        <w:t>下表只固定本项目里容易混用的词。协议字段名以 IN-03 为准。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rPr>
          <w:tblHeader/>
        </w:trPr>
        <w:tc>
          <w:tcPr>
            <w:tcW w:type="dxa" w:w="226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08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甲方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株式会社ベリサーブ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乙方</w:t>
            </w:r>
          </w:p>
        </w:tc>
        <w:tc>
          <w:tcPr>
            <w:tcW w:type="dxa" w:w="70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株式会社BREXA Technology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业务串口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承载 HL1 的 UART。不是日志串口，也不是 USB-CDC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基本设计</w:t>
            </w:r>
          </w:p>
        </w:tc>
        <w:tc>
          <w:tcPr>
            <w:tcW w:type="dxa" w:w="70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到模块、任务、接口和资源预算为止。不含寄存器步骤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详细设计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本委托不单立成册。需要时写在源码注释，并在决策记录里说明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现行实现</w:t>
            </w:r>
          </w:p>
        </w:tc>
        <w:tc>
          <w:tcPr>
            <w:tcW w:type="dxa" w:w="70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仓库里已经能构建的 PoC。它是底稿，不是已批准的要求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填写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发行前必须补上的栏</w:t>
            </w:r>
          </w:p>
        </w:tc>
      </w:tr>
    </w:tbl>
    <w:p>
      <w:pPr>
        <w:spacing w:after="40"/>
      </w:pPr>
    </w:p>
    <w:p>
      <w:pPr>
        <w:pStyle w:val="Heading1"/>
      </w:pPr>
      <w:r>
        <w:t>5. 体制</w:t>
      </w:r>
    </w:p>
    <w:p>
      <w:r>
        <w:rPr>
          <w:rFonts w:ascii="Calibri" w:hAnsi="Calibri" w:eastAsia="微软雅黑" w:cs="微软雅黑"/>
          <w:b w:val="0"/>
          <w:sz w:val="21"/>
        </w:rPr>
        <w:t>乙方作成本文件。甲方评审并批准。个人姓名只出现在批准栏的签署处。</w:t>
      </w:r>
    </w:p>
    <w:p>
      <w:pPr>
        <w:pStyle w:val="Heading2"/>
      </w:pPr>
      <w:r>
        <w:t>责任分界</w:t>
      </w:r>
    </w:p>
    <w:p>
      <w:pPr>
        <w:spacing w:before="40" w:after="160"/>
        <w:shd w:val="clear" w:color="auto" w:fill="E8EEF4"/>
      </w:pPr>
      <w:r>
        <w:rPr>
          <w:rFonts w:ascii="Calibri" w:hAnsi="Calibri" w:eastAsia="微软雅黑" w:cs="微软雅黑"/>
          <w:b w:val="0"/>
          <w:color w:val="1F4E79"/>
          <w:sz w:val="18"/>
        </w:rPr>
        <w:t>合同若定为派遣，指挥命令在甲方，下表改成甲方指挥下的作业分担，并在变更栏记录。合同若定为准委任，乙方对成果负责，甲方负责要求与验收。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515"/>
        <w:gridCol w:w="3572"/>
      </w:tblGrid>
      <w:tr>
        <w:trPr>
          <w:tblHeader/>
        </w:trPr>
        <w:tc>
          <w:tcPr>
            <w:tcW w:type="dxa" w:w="226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活动</w:t>
            </w:r>
          </w:p>
        </w:tc>
        <w:tc>
          <w:tcPr>
            <w:tcW w:type="dxa" w:w="3515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甲方 株式会社ベリサーブ</w:t>
            </w:r>
          </w:p>
        </w:tc>
        <w:tc>
          <w:tcPr>
            <w:tcW w:type="dxa" w:w="3572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乙方 BREXA Technology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要求的提出与优先顺序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提出、确认、变更批准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整理成可追踪的要求条目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基本设计</w:t>
            </w:r>
          </w:p>
        </w:tc>
        <w:tc>
          <w:tcPr>
            <w:tcW w:type="dxa" w:w="351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评审、批准</w:t>
            </w:r>
          </w:p>
        </w:tc>
        <w:tc>
          <w:tcPr>
            <w:tcW w:type="dxa" w:w="357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作成到模块、接口和资源预算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实现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确认范围没有扩大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编码、构建、看门狗与协议实现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结合测试与验证</w:t>
            </w:r>
          </w:p>
        </w:tc>
        <w:tc>
          <w:tcPr>
            <w:tcW w:type="dxa" w:w="351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立会、接收证据、判定接收</w:t>
            </w:r>
          </w:p>
        </w:tc>
        <w:tc>
          <w:tcPr>
            <w:tcW w:type="dxa" w:w="357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设计用例、实施、记录、缺陷修正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文档发行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批准发行版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版管理、中日两份同步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实机、串口、CAN 工具</w:t>
            </w:r>
          </w:p>
        </w:tc>
        <w:tc>
          <w:tcPr>
            <w:tcW w:type="dxa" w:w="351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提供或书面确认由谁准备</w:t>
            </w:r>
          </w:p>
        </w:tc>
        <w:tc>
          <w:tcPr>
            <w:tcW w:type="dxa" w:w="357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提出工具清单，在确认前不假定已有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进度与课题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接收报告并答复未决事项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按 RXRA-PM-01 报告</w:t>
            </w:r>
          </w:p>
        </w:tc>
      </w:tr>
    </w:tbl>
    <w:p>
      <w:pPr>
        <w:spacing w:after="40"/>
      </w:pPr>
    </w:p>
    <w:p>
      <w:pPr>
        <w:pStyle w:val="Heading1"/>
      </w:pPr>
      <w:r>
        <w:t>6. 要求分析</w:t>
      </w:r>
    </w:p>
    <w:p>
      <w:pPr>
        <w:pStyle w:val="Heading2"/>
      </w:pPr>
      <w:r>
        <w:t>6.1 背景与目标</w:t>
      </w:r>
    </w:p>
    <w:p>
      <w:r>
        <w:rPr>
          <w:rFonts w:ascii="Calibri" w:hAnsi="Calibri" w:eastAsia="微软雅黑" w:cs="微软雅黑"/>
          <w:b w:val="0"/>
          <w:sz w:val="21"/>
        </w:rPr>
        <w:t>甲方委托乙方，从要求分析做到可演示的嵌入式软件和 PC 交互。起始时间在委托资料中写为 2026 年 11 月。目标系统使用 FreeRTOS，覆盖 RX71M 与 RA8P，并由 PC 应用进行通信、查看和控制。</w:t>
      </w:r>
    </w:p>
    <w:p>
      <w:pPr>
        <w:spacing w:before="40" w:after="160"/>
        <w:shd w:val="clear" w:color="auto" w:fill="E8EEF4"/>
      </w:pPr>
      <w:r>
        <w:rPr>
          <w:rFonts w:ascii="Calibri" w:hAnsi="Calibri" w:eastAsia="微软雅黑" w:cs="微软雅黑"/>
          <w:b w:val="0"/>
          <w:color w:val="1F4E79"/>
          <w:sz w:val="18"/>
        </w:rPr>
        <w:t>填写：用一段话写甲方要验收的结果，不要写实现手段。把「已有 PoC、可以演示」写成前提，不要写成已经验收。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804"/>
      </w:tblGrid>
      <w:tr>
        <w:trPr>
          <w:tblHeader/>
        </w:trPr>
        <w:tc>
          <w:tcPr>
            <w:tcW w:type="dxa" w:w="255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栏</w:t>
            </w:r>
          </w:p>
        </w:tc>
        <w:tc>
          <w:tcPr>
            <w:tcW w:type="dxa" w:w="680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业务目标</w:t>
            </w:r>
          </w:p>
        </w:tc>
        <w:tc>
          <w:tcPr>
            <w:tcW w:type="dxa" w:w="680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</w:tr>
      <w:tr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验收时必须看到的结果</w:t>
            </w:r>
          </w:p>
        </w:tc>
        <w:tc>
          <w:tcPr>
            <w:tcW w:type="dxa" w:w="680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成功时甲方可以独立做的事</w:t>
            </w:r>
          </w:p>
        </w:tc>
        <w:tc>
          <w:tcPr>
            <w:tcW w:type="dxa" w:w="680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</w:tr>
      <w:tr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明确不做的结果</w:t>
            </w:r>
          </w:p>
        </w:tc>
        <w:tc>
          <w:tcPr>
            <w:tcW w:type="dxa" w:w="680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</w:tr>
    </w:tbl>
    <w:p>
      <w:pPr>
        <w:spacing w:after="40"/>
      </w:pPr>
    </w:p>
    <w:p>
      <w:pPr>
        <w:pStyle w:val="Heading2"/>
      </w:pPr>
      <w:r>
        <w:t>6.2 干系人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685"/>
        <w:gridCol w:w="2551"/>
      </w:tblGrid>
      <w:tr>
        <w:trPr>
          <w:tblHeader/>
        </w:trPr>
        <w:tc>
          <w:tcPr>
            <w:tcW w:type="dxa" w:w="311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干系人</w:t>
            </w:r>
          </w:p>
        </w:tc>
        <w:tc>
          <w:tcPr>
            <w:tcW w:type="dxa" w:w="3685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关心的决定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联系窗口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株式会社ベリサーブ 要求负责人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范围、优先顺序、接收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</w:tr>
      <w:tr>
        <w:tc>
          <w:tcPr>
            <w:tcW w:type="dxa" w:w="311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株式会社ベリサーブ 验收负责人</w:t>
            </w:r>
          </w:p>
        </w:tc>
        <w:tc>
          <w:tcPr>
            <w:tcW w:type="dxa" w:w="368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证据、偏差、残留缺陷</w:t>
            </w:r>
          </w:p>
        </w:tc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BREXA Technology 技术负责人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设计、实现、测试记录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</w:tr>
      <w:tr>
        <w:tc>
          <w:tcPr>
            <w:tcW w:type="dxa" w:w="311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实机与工具提供方</w:t>
            </w:r>
          </w:p>
        </w:tc>
        <w:tc>
          <w:tcPr>
            <w:tcW w:type="dxa" w:w="368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板卡、调试器、CAN 工具由谁在何时提供</w:t>
            </w:r>
          </w:p>
        </w:tc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</w:tr>
    </w:tbl>
    <w:p>
      <w:pPr>
        <w:spacing w:after="40"/>
      </w:pPr>
    </w:p>
    <w:p>
      <w:pPr>
        <w:pStyle w:val="Heading2"/>
      </w:pPr>
      <w:r>
        <w:t>6.3 系统上下文</w:t>
      </w:r>
    </w:p>
    <w:p>
      <w:r>
        <w:rPr>
          <w:rFonts w:ascii="Calibri" w:hAnsi="Calibri" w:eastAsia="微软雅黑" w:cs="微软雅黑"/>
          <w:b w:val="0"/>
          <w:sz w:val="21"/>
        </w:rPr>
        <w:t>PC 上位机一次连接一块板的业务串口。日志串口只输出给人看的文本。RX71M 与 RA8P 使用同一帧和同一套命令号，差异写在功能分配里。</w:t>
      </w:r>
    </w:p>
    <w:p>
      <w:pPr>
        <w:spacing w:before="40" w:after="160"/>
        <w:shd w:val="clear" w:color="auto" w:fill="E8EEF4"/>
      </w:pPr>
      <w:r>
        <w:rPr>
          <w:rFonts w:ascii="Calibri" w:hAnsi="Calibri" w:eastAsia="微软雅黑" w:cs="微软雅黑"/>
          <w:b w:val="0"/>
          <w:color w:val="1F4E79"/>
          <w:sz w:val="18"/>
        </w:rPr>
        <w:t>填写：在批准版中放入一张上下文图。图中只画外部角色和本系统边界。现行底稿的图在 IN-01、IN-02，搬入时删去尚未实现的协议栈，或把它们标成目标而非现状。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041"/>
        <w:gridCol w:w="2551"/>
        <w:gridCol w:w="2494"/>
      </w:tblGrid>
      <w:tr>
        <w:trPr>
          <w:tblHeader/>
        </w:trPr>
        <w:tc>
          <w:tcPr>
            <w:tcW w:type="dxa" w:w="226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外部对象</w:t>
            </w:r>
          </w:p>
        </w:tc>
        <w:tc>
          <w:tcPr>
            <w:tcW w:type="dxa" w:w="204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本系统的责任</w:t>
            </w:r>
          </w:p>
        </w:tc>
        <w:tc>
          <w:tcPr>
            <w:tcW w:type="dxa" w:w="249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对方的责任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操作者与 PC 应用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命令进入，状态与应答返回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解析 HL1，执行已定义命令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组帧、显示、保存日志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CAN / CAN FD 总线</w:t>
            </w:r>
          </w:p>
        </w:tc>
        <w:tc>
          <w:tcPr>
            <w:tcW w:type="dxa" w:w="20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发送，以及将来的接收</w:t>
            </w:r>
          </w:p>
        </w:tc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按板卡能力发送</w:t>
            </w:r>
          </w:p>
        </w:tc>
        <w:tc>
          <w:tcPr>
            <w:tcW w:type="dxa" w:w="249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对端节点与线束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GPIO、AD、DA、PWM、SPI、I2C、LIN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板卡侧电气信号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按要求驱动或采样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外部电路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调试器与日志口</w:t>
            </w:r>
          </w:p>
        </w:tc>
        <w:tc>
          <w:tcPr>
            <w:tcW w:type="dxa" w:w="20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诊断输出</w:t>
            </w:r>
          </w:p>
        </w:tc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输出约定的文本</w:t>
            </w:r>
          </w:p>
        </w:tc>
        <w:tc>
          <w:tcPr>
            <w:tcW w:type="dxa" w:w="249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人阅读，不作为协议</w:t>
            </w:r>
          </w:p>
        </w:tc>
      </w:tr>
    </w:tbl>
    <w:p>
      <w:pPr>
        <w:spacing w:after="40"/>
      </w:pPr>
    </w:p>
    <w:p>
      <w:pPr>
        <w:pStyle w:val="Heading2"/>
      </w:pPr>
      <w:r>
        <w:t>6.4 功能要求</w:t>
      </w:r>
    </w:p>
    <w:p>
      <w:pPr>
        <w:spacing w:before="40" w:after="160"/>
        <w:shd w:val="clear" w:color="auto" w:fill="E8EEF4"/>
      </w:pPr>
      <w:r>
        <w:rPr>
          <w:rFonts w:ascii="Calibri" w:hAnsi="Calibri" w:eastAsia="微软雅黑" w:cs="微软雅黑"/>
          <w:b w:val="0"/>
          <w:color w:val="1F4E79"/>
          <w:sz w:val="18"/>
        </w:rPr>
        <w:t>编号 FR-xxx，只追加不复用。优先级 MoSCoW。状态用：草案、已确认、已实现、延后、取消。下表前两行是写法示例，示例不作为已确认要求。</w:t>
      </w:r>
    </w:p>
    <w:tbl>
      <w:tblPr>
        <w:tblW w:type="dxa" w:w="941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948"/>
        <w:gridCol w:w="1020"/>
        <w:gridCol w:w="2041"/>
        <w:gridCol w:w="1020"/>
        <w:gridCol w:w="1134"/>
      </w:tblGrid>
      <w:tr>
        <w:trPr>
          <w:tblHeader/>
        </w:trPr>
        <w:tc>
          <w:tcPr>
            <w:tcW w:type="dxa" w:w="124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94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陈述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04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3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出处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例 FR-001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PC 经业务串口与指定板完成一次往返。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Must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收到与请求对应的应答。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示例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IN-01</w:t>
            </w:r>
          </w:p>
        </w:tc>
      </w:tr>
      <w:tr>
        <w:tc>
          <w:tcPr>
            <w:tcW w:type="dxa" w:w="124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例 FR-002</w:t>
            </w:r>
          </w:p>
        </w:tc>
        <w:tc>
          <w:tcPr>
            <w:tcW w:type="dxa" w:w="294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RX71M 拒绝 CAN FD 请求并给出约定的否定应答。RA8P 按 FD 标志发送。</w:t>
            </w:r>
          </w:p>
        </w:tc>
        <w:tc>
          <w:tcPr>
            <w:tcW w:type="dxa" w:w="102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Must</w:t>
            </w:r>
          </w:p>
        </w:tc>
        <w:tc>
          <w:tcPr>
            <w:tcW w:type="dxa" w:w="20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两块板的否定与肯定路径都有记录。</w:t>
            </w:r>
          </w:p>
        </w:tc>
        <w:tc>
          <w:tcPr>
            <w:tcW w:type="dxa" w:w="102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示例</w:t>
            </w:r>
          </w:p>
        </w:tc>
        <w:tc>
          <w:tcPr>
            <w:tcW w:type="dxa" w:w="113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IN-01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FR-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草案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6.5 非功能要求</w:t>
      </w:r>
    </w:p>
    <w:p>
      <w:pPr>
        <w:spacing w:before="40" w:after="160"/>
        <w:shd w:val="clear" w:color="auto" w:fill="E8EEF4"/>
      </w:pPr>
      <w:r>
        <w:rPr>
          <w:rFonts w:ascii="Calibri" w:hAnsi="Calibri" w:eastAsia="微软雅黑" w:cs="微软雅黑"/>
          <w:b w:val="0"/>
          <w:color w:val="1F4E79"/>
          <w:sz w:val="18"/>
        </w:rPr>
        <w:t>没有数字的性能句，写成未决事项，不写成已经承诺的指标。</w:t>
      </w:r>
    </w:p>
    <w:tbl>
      <w:tblPr>
        <w:tblW w:type="dxa" w:w="9353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1474"/>
        <w:gridCol w:w="3175"/>
        <w:gridCol w:w="2381"/>
        <w:gridCol w:w="963"/>
      </w:tblGrid>
      <w:tr>
        <w:trPr>
          <w:tblHeader/>
        </w:trPr>
        <w:tc>
          <w:tcPr>
            <w:tcW w:type="dxa" w:w="1360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47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175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陈述</w:t>
            </w:r>
          </w:p>
        </w:tc>
        <w:tc>
          <w:tcPr>
            <w:tcW w:type="dxa" w:w="238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度量或判定</w:t>
            </w:r>
          </w:p>
        </w:tc>
        <w:tc>
          <w:tcPr>
            <w:tcW w:type="dxa" w:w="963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36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例 NFR-001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可靠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应用任务周期刷新独立看门狗。任务停住超过超时则复位。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RX 约 17.5 秒，RA 16 秒。正常循环 1 分钟内不复位。</w:t>
            </w:r>
          </w:p>
        </w:tc>
        <w:tc>
          <w:tcPr>
            <w:tcW w:type="dxa" w:w="963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示例</w:t>
            </w:r>
          </w:p>
        </w:tc>
      </w:tr>
      <w:tr>
        <w:tc>
          <w:tcPr>
            <w:tcW w:type="dxa" w:w="136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例 NFR-002</w:t>
            </w:r>
          </w:p>
        </w:tc>
        <w:tc>
          <w:tcPr>
            <w:tcW w:type="dxa" w:w="14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资源</w:t>
            </w:r>
          </w:p>
        </w:tc>
        <w:tc>
          <w:tcPr>
            <w:tcW w:type="dxa" w:w="317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现行镜像占用留有余量，并随发行版更新数字。</w:t>
            </w:r>
          </w:p>
        </w:tc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对照 workspace_layout 的 size 表。</w:t>
            </w:r>
          </w:p>
        </w:tc>
        <w:tc>
          <w:tcPr>
            <w:tcW w:type="dxa" w:w="963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示例</w:t>
            </w:r>
          </w:p>
        </w:tc>
      </w:tr>
      <w:tr>
        <w:tc>
          <w:tcPr>
            <w:tcW w:type="dxa" w:w="136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NFR-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性能 / 安全 / 维护 / 移植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963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草案</w:t>
            </w:r>
          </w:p>
        </w:tc>
      </w:tr>
    </w:tbl>
    <w:p>
      <w:pPr>
        <w:spacing w:after="40"/>
      </w:pPr>
    </w:p>
    <w:p>
      <w:pPr>
        <w:pStyle w:val="Heading2"/>
      </w:pPr>
      <w:r>
        <w:t>6.6 接口要求</w:t>
      </w:r>
    </w:p>
    <w:p>
      <w:r>
        <w:rPr>
          <w:rFonts w:ascii="Calibri" w:hAnsi="Calibri" w:eastAsia="微软雅黑" w:cs="微软雅黑"/>
          <w:b w:val="0"/>
          <w:sz w:val="21"/>
        </w:rPr>
        <w:t>接口要求只规定谁和谁、用哪条链路、必须遵守哪一份详细规格。字节布局不在本文件展开。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381"/>
        <w:gridCol w:w="2041"/>
        <w:gridCol w:w="3798"/>
      </w:tblGrid>
      <w:tr>
        <w:trPr>
          <w:tblHeader/>
        </w:trPr>
        <w:tc>
          <w:tcPr>
            <w:tcW w:type="dxa" w:w="113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8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204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详细规格</w:t>
            </w:r>
          </w:p>
        </w:tc>
        <w:tc>
          <w:tcPr>
            <w:tcW w:type="dxa" w:w="379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要求要点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IF-01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PC 与板卡业务 UART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IN-03</w:t>
            </w:r>
          </w:p>
        </w:tc>
        <w:tc>
          <w:tcPr>
            <w:tcW w:type="dxa" w:w="379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（填写：波特率、板卡过滤、必须实现的命令）</w:t>
            </w:r>
          </w:p>
        </w:tc>
      </w:tr>
      <w:tr>
        <w:tc>
          <w:tcPr>
            <w:tcW w:type="dxa" w:w="113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IF-02</w:t>
            </w:r>
          </w:p>
        </w:tc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日志 UART</w:t>
            </w:r>
          </w:p>
        </w:tc>
        <w:tc>
          <w:tcPr>
            <w:tcW w:type="dxa" w:w="20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mcu_resource_map</w:t>
            </w:r>
          </w:p>
        </w:tc>
        <w:tc>
          <w:tcPr>
            <w:tcW w:type="dxa" w:w="379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只用于人读文本，不承载 HL1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IF-03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CAN / CAN FD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IN-03 与架构文档</w:t>
            </w:r>
          </w:p>
        </w:tc>
        <w:tc>
          <w:tcPr>
            <w:tcW w:type="dxa" w:w="379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（填写：速率、RX 与 RA 的能力差）</w:t>
            </w:r>
          </w:p>
        </w:tc>
      </w:tr>
      <w:tr>
        <w:tc>
          <w:tcPr>
            <w:tcW w:type="dxa" w:w="113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IF-04</w:t>
            </w:r>
          </w:p>
        </w:tc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GPIO、ADC、DAC、PWM</w:t>
            </w:r>
          </w:p>
        </w:tc>
        <w:tc>
          <w:tcPr>
            <w:tcW w:type="dxa" w:w="20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mcu_resource_map</w:t>
            </w:r>
          </w:p>
        </w:tc>
        <w:tc>
          <w:tcPr>
            <w:tcW w:type="dxa" w:w="379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（填写：通道数与占空比单位）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IF-05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SPI、I2C、LIN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架构文档</w:t>
            </w:r>
          </w:p>
        </w:tc>
        <w:tc>
          <w:tcPr>
            <w:tcW w:type="dxa" w:w="379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（填写：演示还是正式命令）</w:t>
            </w:r>
          </w:p>
        </w:tc>
      </w:tr>
      <w:tr>
        <w:tc>
          <w:tcPr>
            <w:tcW w:type="dxa" w:w="113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IF-06</w:t>
            </w:r>
          </w:p>
        </w:tc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USB、以太网</w:t>
            </w:r>
          </w:p>
        </w:tc>
        <w:tc>
          <w:tcPr>
            <w:tcW w:type="dxa" w:w="20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架构文档</w:t>
            </w:r>
          </w:p>
        </w:tc>
        <w:tc>
          <w:tcPr>
            <w:tcW w:type="dxa" w:w="379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（填写：本阶段开通到哪一层）</w:t>
            </w:r>
          </w:p>
        </w:tc>
      </w:tr>
    </w:tbl>
    <w:p>
      <w:pPr>
        <w:spacing w:after="40"/>
      </w:pPr>
    </w:p>
    <w:p>
      <w:pPr>
        <w:pStyle w:val="Heading2"/>
      </w:pPr>
      <w:r>
        <w:t>6.7 约束、前提与排除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360"/>
        <w:gridCol w:w="4309"/>
        <w:gridCol w:w="2551"/>
      </w:tblGrid>
      <w:tr>
        <w:trPr>
          <w:tblHeader/>
        </w:trPr>
        <w:tc>
          <w:tcPr>
            <w:tcW w:type="dxa" w:w="113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360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309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若被打破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C-01</w:t>
            </w:r>
          </w:p>
        </w:tc>
        <w:tc>
          <w:tcPr>
            <w:tcW w:type="dxa" w:w="136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约束</w:t>
            </w:r>
          </w:p>
        </w:tc>
        <w:tc>
          <w:tcPr>
            <w:tcW w:type="dxa" w:w="4309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RX71M 的 CAN 为经典 CAN。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不把 CAN FD 写成 RX 的必须功能</w:t>
            </w:r>
          </w:p>
        </w:tc>
      </w:tr>
      <w:tr>
        <w:tc>
          <w:tcPr>
            <w:tcW w:type="dxa" w:w="113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C-02</w:t>
            </w:r>
          </w:p>
        </w:tc>
        <w:tc>
          <w:tcPr>
            <w:tcW w:type="dxa" w:w="136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约束</w:t>
            </w:r>
          </w:p>
        </w:tc>
        <w:tc>
          <w:tcPr>
            <w:tcW w:type="dxa" w:w="4309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中文与日文文档分文件。</w:t>
            </w:r>
          </w:p>
        </w:tc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不交付中日混排的规格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C-03</w:t>
            </w:r>
          </w:p>
        </w:tc>
        <w:tc>
          <w:tcPr>
            <w:tcW w:type="dxa" w:w="136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前提</w:t>
            </w:r>
          </w:p>
        </w:tc>
        <w:tc>
          <w:tcPr>
            <w:tcW w:type="dxa" w:w="4309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沿用现有 PoC，不推倒重写。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范围和工数要重估</w:t>
            </w:r>
          </w:p>
        </w:tc>
      </w:tr>
      <w:tr>
        <w:tc>
          <w:tcPr>
            <w:tcW w:type="dxa" w:w="113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C-04</w:t>
            </w:r>
          </w:p>
        </w:tc>
        <w:tc>
          <w:tcPr>
            <w:tcW w:type="dxa" w:w="136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前提</w:t>
            </w:r>
          </w:p>
        </w:tc>
        <w:tc>
          <w:tcPr>
            <w:tcW w:type="dxa" w:w="4309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委托资料写明不提供详细设计指示。</w:t>
            </w:r>
          </w:p>
        </w:tc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甲方若改为指定寄存器级设计，按变更处理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C-05</w:t>
            </w:r>
          </w:p>
        </w:tc>
        <w:tc>
          <w:tcPr>
            <w:tcW w:type="dxa" w:w="136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排除</w:t>
            </w:r>
          </w:p>
        </w:tc>
        <w:tc>
          <w:tcPr>
            <w:tcW w:type="dxa" w:w="4309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（填写明确不做的功能）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113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A-01</w:t>
            </w:r>
          </w:p>
        </w:tc>
        <w:tc>
          <w:tcPr>
            <w:tcW w:type="dxa" w:w="136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待确认前提</w:t>
            </w:r>
          </w:p>
        </w:tc>
        <w:tc>
          <w:tcPr>
            <w:tcW w:type="dxa" w:w="4309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合同是派遣还是准委任。</w:t>
            </w:r>
          </w:p>
        </w:tc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第 5 章责任分界要改</w:t>
            </w:r>
          </w:p>
        </w:tc>
      </w:tr>
    </w:tbl>
    <w:p>
      <w:pPr>
        <w:spacing w:after="40"/>
      </w:pPr>
    </w:p>
    <w:p>
      <w:pPr>
        <w:pStyle w:val="Heading2"/>
      </w:pPr>
      <w:r>
        <w:t>6.8 未决事项</w:t>
      </w:r>
    </w:p>
    <w:p>
      <w:pPr>
        <w:spacing w:before="40" w:after="160"/>
        <w:shd w:val="clear" w:color="auto" w:fill="E8EEF4"/>
      </w:pPr>
      <w:r>
        <w:rPr>
          <w:rFonts w:ascii="Calibri" w:hAnsi="Calibri" w:eastAsia="微软雅黑" w:cs="微软雅黑"/>
          <w:b w:val="0"/>
          <w:color w:val="1F4E79"/>
          <w:sz w:val="18"/>
        </w:rPr>
        <w:t>未决事项有负责人、期限和堵住的要求编号。过期仍未答复的，不自行当成默认值写进设计。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835"/>
        <w:gridCol w:w="1360"/>
        <w:gridCol w:w="1134"/>
        <w:gridCol w:w="1247"/>
        <w:gridCol w:w="1871"/>
      </w:tblGrid>
      <w:tr>
        <w:trPr>
          <w:tblHeader/>
        </w:trPr>
        <w:tc>
          <w:tcPr>
            <w:tcW w:type="dxa" w:w="90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835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360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堵住的要求</w:t>
            </w:r>
          </w:p>
        </w:tc>
        <w:tc>
          <w:tcPr>
            <w:tcW w:type="dxa" w:w="113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24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期限</w:t>
            </w:r>
          </w:p>
        </w:tc>
        <w:tc>
          <w:tcPr>
            <w:tcW w:type="dxa" w:w="187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90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Q-01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两款 MCU 是否都要覆盖委托图中的全部功能。</w:t>
            </w:r>
          </w:p>
        </w:tc>
        <w:tc>
          <w:tcPr>
            <w:tcW w:type="dxa" w:w="136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FR 待填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甲方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未决</w:t>
            </w:r>
          </w:p>
        </w:tc>
      </w:tr>
      <w:tr>
        <w:tc>
          <w:tcPr>
            <w:tcW w:type="dxa" w:w="90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Q-02</w:t>
            </w:r>
          </w:p>
        </w:tc>
        <w:tc>
          <w:tcPr>
            <w:tcW w:type="dxa" w:w="283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CANlog 的容量、掉电是否保留。</w:t>
            </w:r>
          </w:p>
        </w:tc>
        <w:tc>
          <w:tcPr>
            <w:tcW w:type="dxa" w:w="136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FR 待填</w:t>
            </w:r>
          </w:p>
        </w:tc>
        <w:tc>
          <w:tcPr>
            <w:tcW w:type="dxa" w:w="113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甲方</w:t>
            </w:r>
          </w:p>
        </w:tc>
        <w:tc>
          <w:tcPr>
            <w:tcW w:type="dxa" w:w="124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87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未决</w:t>
            </w:r>
          </w:p>
        </w:tc>
      </w:tr>
      <w:tr>
        <w:tc>
          <w:tcPr>
            <w:tcW w:type="dxa" w:w="90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Q-03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性能数字：总线负载、吞吐、采样率、PWM、AD/DA。</w:t>
            </w:r>
          </w:p>
        </w:tc>
        <w:tc>
          <w:tcPr>
            <w:tcW w:type="dxa" w:w="136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NFR 待填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甲方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未决</w:t>
            </w:r>
          </w:p>
        </w:tc>
      </w:tr>
      <w:tr>
        <w:tc>
          <w:tcPr>
            <w:tcW w:type="dxa" w:w="90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Q-04</w:t>
            </w:r>
          </w:p>
        </w:tc>
        <w:tc>
          <w:tcPr>
            <w:tcW w:type="dxa" w:w="283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PC 应用是否全部包含在本委托。</w:t>
            </w:r>
          </w:p>
        </w:tc>
        <w:tc>
          <w:tcPr>
            <w:tcW w:type="dxa" w:w="136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范围</w:t>
            </w:r>
          </w:p>
        </w:tc>
        <w:tc>
          <w:tcPr>
            <w:tcW w:type="dxa" w:w="113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甲方</w:t>
            </w:r>
          </w:p>
        </w:tc>
        <w:tc>
          <w:tcPr>
            <w:tcW w:type="dxa" w:w="124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87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未决</w:t>
            </w:r>
          </w:p>
        </w:tc>
      </w:tr>
      <w:tr>
        <w:tc>
          <w:tcPr>
            <w:tcW w:type="dxa" w:w="90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Q-05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实机、调试器和 CAN 工具由谁提供。</w:t>
            </w:r>
          </w:p>
        </w:tc>
        <w:tc>
          <w:tcPr>
            <w:tcW w:type="dxa" w:w="136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测试前提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甲方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未决</w:t>
            </w:r>
          </w:p>
        </w:tc>
      </w:tr>
    </w:tbl>
    <w:p>
      <w:pPr>
        <w:spacing w:after="40"/>
      </w:pPr>
    </w:p>
    <w:p>
      <w:pPr>
        <w:pStyle w:val="Heading2"/>
      </w:pPr>
      <w:r>
        <w:t>6.9 编号规则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FR 功能要求，NFR 非功能要求，IF 接口，C 约束，A 前提，Q 未决，BD 设计决策。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取消的编号保留，状态改为取消，不把编号让给新条目。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日文版使用同一编号，不另起一套。</w:t>
      </w:r>
    </w:p>
    <w:p>
      <w:pPr>
        <w:pStyle w:val="Heading1"/>
      </w:pPr>
      <w:r>
        <w:t>7. 基本设计</w:t>
      </w:r>
    </w:p>
    <w:p>
      <w:pPr>
        <w:pStyle w:val="Heading2"/>
      </w:pPr>
      <w:r>
        <w:t>7.1 深度</w:t>
      </w:r>
    </w:p>
    <w:p>
      <w:r>
        <w:rPr>
          <w:rFonts w:ascii="Calibri" w:hAnsi="Calibri" w:eastAsia="微软雅黑" w:cs="微软雅黑"/>
          <w:b w:val="0"/>
          <w:sz w:val="21"/>
        </w:rPr>
        <w:t>基本设计回答四个问题：功能落在 PC、RX71M 还是 RA8P；运行时有哪些任务；板卡与 PC 的契约在哪份规格；存储器、时钟和故障策略是否承受得住。源码里的寄存器顺序、位掩码和循环内部细节不复制到本章。</w:t>
      </w:r>
    </w:p>
    <w:p>
      <w:pPr>
        <w:pStyle w:val="Heading2"/>
      </w:pPr>
      <w:r>
        <w:t>7.2 系统结构</w:t>
      </w:r>
    </w:p>
    <w:p>
      <w:pPr>
        <w:spacing w:before="40" w:after="160"/>
        <w:shd w:val="clear" w:color="auto" w:fill="E8EEF4"/>
      </w:pPr>
      <w:r>
        <w:rPr>
          <w:rFonts w:ascii="Calibri" w:hAnsi="Calibri" w:eastAsia="微软雅黑" w:cs="微软雅黑"/>
          <w:b w:val="0"/>
          <w:color w:val="1F4E79"/>
          <w:sz w:val="18"/>
        </w:rPr>
        <w:t>填写批准版的结构图，并在图题下标明它对应的要求编号。现行描述以 IN-02 为底稿。图例要区分已经实现和仅在委托图中出现的部分。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551"/>
        <w:gridCol w:w="1417"/>
        <w:gridCol w:w="3005"/>
      </w:tblGrid>
      <w:tr>
        <w:trPr>
          <w:tblHeader/>
        </w:trPr>
        <w:tc>
          <w:tcPr>
            <w:tcW w:type="dxa" w:w="238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结构元素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责任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对应要求</w:t>
            </w:r>
          </w:p>
        </w:tc>
        <w:tc>
          <w:tcPr>
            <w:tcW w:type="dxa" w:w="3005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PC 上位机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FR-</w:t>
            </w:r>
          </w:p>
        </w:tc>
        <w:tc>
          <w:tcPr>
            <w:tcW w:type="dxa" w:w="300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HL1 与 proto3 编解码</w:t>
            </w:r>
          </w:p>
        </w:tc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41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IF-01</w:t>
            </w:r>
          </w:p>
        </w:tc>
        <w:tc>
          <w:tcPr>
            <w:tcW w:type="dxa" w:w="300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详细位定义见 IN-03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RX71M 应用任务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FR-</w:t>
            </w:r>
          </w:p>
        </w:tc>
        <w:tc>
          <w:tcPr>
            <w:tcW w:type="dxa" w:w="300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RA8P 应用任务</w:t>
            </w:r>
          </w:p>
        </w:tc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41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FR-</w:t>
            </w:r>
          </w:p>
        </w:tc>
        <w:tc>
          <w:tcPr>
            <w:tcW w:type="dxa" w:w="300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日志口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IF-02</w:t>
            </w:r>
          </w:p>
        </w:tc>
        <w:tc>
          <w:tcPr>
            <w:tcW w:type="dxa" w:w="300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7.3 软件配置与任务</w:t>
      </w:r>
    </w:p>
    <w:p>
      <w:r>
        <w:rPr>
          <w:rFonts w:ascii="Calibri" w:hAnsi="Calibri" w:eastAsia="微软雅黑" w:cs="微软雅黑"/>
          <w:b w:val="0"/>
          <w:sz w:val="21"/>
        </w:rPr>
        <w:t>两边各有一个应用任务。协议在该任务中轮询。内核保留空闲任务和定时器服务任务。独立看门狗在上电序列末尾启动，由应用任务周期刷新。</w:t>
      </w:r>
    </w:p>
    <w:p>
      <w:pPr>
        <w:spacing w:before="40" w:after="160"/>
        <w:shd w:val="clear" w:color="auto" w:fill="E8EEF4"/>
      </w:pPr>
      <w:r>
        <w:rPr>
          <w:rFonts w:ascii="Calibri" w:hAnsi="Calibri" w:eastAsia="微软雅黑" w:cs="微软雅黑"/>
          <w:b w:val="0"/>
          <w:color w:val="1F4E79"/>
          <w:sz w:val="18"/>
        </w:rPr>
        <w:t>填写时把节拍、优先级、栈和堆的现行值从 IN-02 抄入下表，并写明这些数字是现状还是设计限额。数字变化时改本表和 IN-02，不只改一边。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268"/>
        <w:gridCol w:w="2268"/>
        <w:gridCol w:w="2324"/>
      </w:tblGrid>
      <w:tr>
        <w:trPr>
          <w:tblHeader/>
        </w:trPr>
        <w:tc>
          <w:tcPr>
            <w:tcW w:type="dxa" w:w="249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RX71M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RA8P</w:t>
            </w:r>
          </w:p>
        </w:tc>
        <w:tc>
          <w:tcPr>
            <w:tcW w:type="dxa" w:w="232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设计限额或现状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应用任务名 / 优先级 / 栈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232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节拍与轮询周期</w:t>
            </w:r>
          </w:p>
        </w:tc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232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看门狗超时与刷新点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232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不用的内核对象</w:t>
            </w:r>
          </w:p>
        </w:tc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232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7.4 功能分配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701"/>
        <w:gridCol w:w="1814"/>
        <w:gridCol w:w="1814"/>
        <w:gridCol w:w="1984"/>
      </w:tblGrid>
      <w:tr>
        <w:trPr>
          <w:tblHeader/>
        </w:trPr>
        <w:tc>
          <w:tcPr>
            <w:tcW w:type="dxa" w:w="204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PC</w:t>
            </w:r>
          </w:p>
        </w:tc>
        <w:tc>
          <w:tcPr>
            <w:tcW w:type="dxa" w:w="181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RX71M</w:t>
            </w:r>
          </w:p>
        </w:tc>
        <w:tc>
          <w:tcPr>
            <w:tcW w:type="dxa" w:w="181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RA8P</w:t>
            </w:r>
          </w:p>
        </w:tc>
        <w:tc>
          <w:tcPr>
            <w:tcW w:type="dxa" w:w="198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要求编号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命令发起与显示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—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—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20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HL1 解析与应答</w:t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组帧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98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IF-01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经典 CAN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20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CAN FD</w:t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不支持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98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C-01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GPIO / ADC / DAC / PWM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20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SPI / I2C / LIN</w:t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98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USB / 以太网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20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看门狗</w:t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—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98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7.5 外部接口</w:t>
      </w:r>
    </w:p>
    <w:p>
      <w:r>
        <w:rPr>
          <w:rFonts w:ascii="Calibri" w:hAnsi="Calibri" w:eastAsia="微软雅黑" w:cs="微软雅黑"/>
          <w:b w:val="0"/>
          <w:sz w:val="21"/>
        </w:rPr>
        <w:t>本节省略报文图。每个接口给出标识、载体、详细规格的文件名和版本、以及本设计依赖的不变式。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5103"/>
        <w:gridCol w:w="2891"/>
      </w:tblGrid>
      <w:tr>
        <w:trPr>
          <w:tblHeader/>
        </w:trPr>
        <w:tc>
          <w:tcPr>
            <w:tcW w:type="dxa" w:w="1360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5103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不变式（改变则必须改要求或协议版本）</w:t>
            </w:r>
          </w:p>
        </w:tc>
        <w:tc>
          <w:tcPr>
            <w:tcW w:type="dxa" w:w="289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详细规格</w:t>
            </w:r>
          </w:p>
        </w:tc>
      </w:tr>
      <w:tr>
        <w:tc>
          <w:tcPr>
            <w:tcW w:type="dxa" w:w="136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IF-01</w:t>
            </w:r>
          </w:p>
        </w:tc>
        <w:tc>
          <w:tcPr>
            <w:tcW w:type="dxa" w:w="5103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（填写，例如：板卡号不匹配则不回答）</w:t>
            </w:r>
          </w:p>
        </w:tc>
        <w:tc>
          <w:tcPr>
            <w:tcW w:type="dxa" w:w="289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IN-03</w:t>
            </w:r>
          </w:p>
        </w:tc>
      </w:tr>
      <w:tr>
        <w:tc>
          <w:tcPr>
            <w:tcW w:type="dxa" w:w="136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IF-03</w:t>
            </w:r>
          </w:p>
        </w:tc>
        <w:tc>
          <w:tcPr>
            <w:tcW w:type="dxa" w:w="5103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289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IN-03</w:t>
            </w:r>
          </w:p>
        </w:tc>
      </w:tr>
      <w:tr>
        <w:tc>
          <w:tcPr>
            <w:tcW w:type="dxa" w:w="136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IF-04</w:t>
            </w:r>
          </w:p>
        </w:tc>
        <w:tc>
          <w:tcPr>
            <w:tcW w:type="dxa" w:w="5103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289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mcu_resource_map</w:t>
            </w:r>
          </w:p>
        </w:tc>
      </w:tr>
    </w:tbl>
    <w:p>
      <w:pPr>
        <w:spacing w:after="40"/>
      </w:pPr>
    </w:p>
    <w:p>
      <w:pPr>
        <w:pStyle w:val="Heading2"/>
      </w:pPr>
      <w:r>
        <w:t>7.6 模块划分</w:t>
      </w:r>
    </w:p>
    <w:p>
      <w:pPr>
        <w:spacing w:before="40" w:after="160"/>
        <w:shd w:val="clear" w:color="auto" w:fill="E8EEF4"/>
      </w:pPr>
      <w:r>
        <w:rPr>
          <w:rFonts w:ascii="Calibri" w:hAnsi="Calibri" w:eastAsia="微软雅黑" w:cs="微软雅黑"/>
          <w:b w:val="0"/>
          <w:color w:val="1F4E79"/>
          <w:sz w:val="18"/>
        </w:rPr>
        <w:t>一行一个交付边界。不要把每个 cpp 文件都写成设计模块，除非它单独承担一条要求。</w:t>
      </w:r>
    </w:p>
    <w:tbl>
      <w:tblPr>
        <w:tblW w:type="dxa" w:w="9352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814"/>
        <w:gridCol w:w="1927"/>
        <w:gridCol w:w="1757"/>
      </w:tblGrid>
      <w:tr>
        <w:trPr>
          <w:tblHeader/>
        </w:trPr>
        <w:tc>
          <w:tcPr>
            <w:tcW w:type="dxa" w:w="192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92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81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对外提供</w:t>
            </w:r>
          </w:p>
        </w:tc>
        <w:tc>
          <w:tcPr>
            <w:tcW w:type="dxa" w:w="192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不允许依赖</w:t>
            </w:r>
          </w:p>
        </w:tc>
        <w:tc>
          <w:tcPr>
            <w:tcW w:type="dxa" w:w="175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9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协议编解码</w:t>
            </w:r>
          </w:p>
        </w:tc>
        <w:tc>
          <w:tcPr>
            <w:tcW w:type="dxa" w:w="19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9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75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192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板级任务与看门狗</w:t>
            </w:r>
          </w:p>
        </w:tc>
        <w:tc>
          <w:tcPr>
            <w:tcW w:type="dxa" w:w="192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92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75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19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PC 窗体与串口</w:t>
            </w:r>
          </w:p>
        </w:tc>
        <w:tc>
          <w:tcPr>
            <w:tcW w:type="dxa" w:w="19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9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75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192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92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92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75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7.7 数据、状态与错误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5670"/>
      </w:tblGrid>
      <w:tr>
        <w:trPr>
          <w:tblHeader/>
        </w:trPr>
        <w:tc>
          <w:tcPr>
            <w:tcW w:type="dxa" w:w="3685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5670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设计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连接状态如何建立和丢失</w:t>
            </w:r>
          </w:p>
        </w:tc>
        <w:tc>
          <w:tcPr>
            <w:tcW w:type="dxa" w:w="567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</w:tr>
      <w:tr>
        <w:tc>
          <w:tcPr>
            <w:tcW w:type="dxa" w:w="368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上位机写过的输出在何种条件下不被周期演示覆盖</w:t>
            </w:r>
          </w:p>
        </w:tc>
        <w:tc>
          <w:tcPr>
            <w:tcW w:type="dxa" w:w="567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非法帧、非法参数、不支持的功能如何回答</w:t>
            </w:r>
          </w:p>
        </w:tc>
        <w:tc>
          <w:tcPr>
            <w:tcW w:type="dxa" w:w="567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（填写。具体字符串以 IN-03 为准）</w:t>
            </w:r>
          </w:p>
        </w:tc>
      </w:tr>
      <w:tr>
        <w:tc>
          <w:tcPr>
            <w:tcW w:type="dxa" w:w="368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看门狗复位后软件从哪里重新开始</w:t>
            </w:r>
          </w:p>
        </w:tc>
        <w:tc>
          <w:tcPr>
            <w:tcW w:type="dxa" w:w="567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掉电后保留什么</w:t>
            </w:r>
          </w:p>
        </w:tc>
        <w:tc>
          <w:tcPr>
            <w:tcW w:type="dxa" w:w="567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（填写。未决则引用 Q-02，不自行假定 Flash）</w:t>
            </w:r>
          </w:p>
        </w:tc>
      </w:tr>
    </w:tbl>
    <w:p>
      <w:pPr>
        <w:spacing w:after="40"/>
      </w:pPr>
    </w:p>
    <w:p>
      <w:pPr>
        <w:pStyle w:val="Heading2"/>
      </w:pPr>
      <w:r>
        <w:t>7.8 资源与时钟</w:t>
      </w:r>
    </w:p>
    <w:p>
      <w:r>
        <w:rPr>
          <w:rFonts w:ascii="Calibri" w:hAnsi="Calibri" w:eastAsia="微软雅黑" w:cs="微软雅黑"/>
          <w:b w:val="0"/>
          <w:sz w:val="21"/>
        </w:rPr>
        <w:t>代码区、RAM、数据非易失存储、各总线时钟和独立看门狗时钟，以 IN-04 的测量和 BSP 设置为准。本章只记录设计限额：发行构建不得超过的 text、data、bss，以及允许使用的外设。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1701"/>
        <w:gridCol w:w="1701"/>
        <w:gridCol w:w="2268"/>
        <w:gridCol w:w="1757"/>
      </w:tblGrid>
      <w:tr>
        <w:trPr>
          <w:tblHeader/>
        </w:trPr>
        <w:tc>
          <w:tcPr>
            <w:tcW w:type="dxa" w:w="192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资源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RX71M 限额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RA8P 限额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现行测量（日期）</w:t>
            </w:r>
          </w:p>
        </w:tc>
        <w:tc>
          <w:tcPr>
            <w:tcW w:type="dxa" w:w="175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19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代码区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75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192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RAM</w:t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75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19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数据闪存或等效区域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75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192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看门狗时钟与超时</w:t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75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7.9 构建与追踪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可重复构建的入口写在 RXRA-PM-01，本节只列出基本设计依赖的构建变体：RX 与 RA 的 Debug、Release。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每一条 Must 要求在批准时都有设计节号和 RXRA-IT-01 的用例编号。没有用例编号的 Must 不能标成已覆盖。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18"/>
        <w:gridCol w:w="1701"/>
        <w:gridCol w:w="2835"/>
      </w:tblGrid>
      <w:tr>
        <w:trPr>
          <w:tblHeader/>
        </w:trPr>
        <w:tc>
          <w:tcPr>
            <w:tcW w:type="dxa" w:w="170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要求编号</w:t>
            </w:r>
          </w:p>
        </w:tc>
        <w:tc>
          <w:tcPr>
            <w:tcW w:type="dxa" w:w="311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设计位置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测试编号</w:t>
            </w:r>
          </w:p>
        </w:tc>
        <w:tc>
          <w:tcPr>
            <w:tcW w:type="dxa" w:w="2835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覆盖结论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FR-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第 7 章（填写小节）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IT-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未覆盖</w:t>
            </w:r>
          </w:p>
        </w:tc>
      </w:tr>
      <w:tr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NFR-</w:t>
            </w:r>
          </w:p>
        </w:tc>
        <w:tc>
          <w:tcPr>
            <w:tcW w:type="dxa" w:w="311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IT-</w:t>
            </w:r>
          </w:p>
        </w:tc>
        <w:tc>
          <w:tcPr>
            <w:tcW w:type="dxa" w:w="283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未覆盖</w:t>
            </w:r>
          </w:p>
        </w:tc>
      </w:tr>
    </w:tbl>
    <w:p>
      <w:pPr>
        <w:spacing w:after="40"/>
      </w:pPr>
    </w:p>
    <w:p>
      <w:pPr>
        <w:pStyle w:val="Heading2"/>
      </w:pPr>
      <w:r>
        <w:t>7.10 设计决策</w:t>
      </w:r>
    </w:p>
    <w:p>
      <w:pPr>
        <w:spacing w:before="40" w:after="160"/>
        <w:shd w:val="clear" w:color="auto" w:fill="E8EEF4"/>
      </w:pPr>
      <w:r>
        <w:rPr>
          <w:rFonts w:ascii="Calibri" w:hAnsi="Calibri" w:eastAsia="微软雅黑" w:cs="微软雅黑"/>
          <w:b w:val="0"/>
          <w:color w:val="1F4E79"/>
          <w:sz w:val="18"/>
        </w:rPr>
        <w:t>决策记录保留被放弃的方案。事后看代码看不出的选择，必须有一条。</w:t>
      </w:r>
    </w:p>
    <w:tbl>
      <w:tblPr>
        <w:tblW w:type="dxa" w:w="9352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360"/>
        <w:gridCol w:w="1927"/>
        <w:gridCol w:w="1814"/>
        <w:gridCol w:w="1814"/>
        <w:gridCol w:w="1190"/>
      </w:tblGrid>
      <w:tr>
        <w:trPr>
          <w:tblHeader/>
        </w:trPr>
        <w:tc>
          <w:tcPr>
            <w:tcW w:type="dxa" w:w="124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360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92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181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放弃的方案</w:t>
            </w:r>
          </w:p>
        </w:tc>
        <w:tc>
          <w:tcPr>
            <w:tcW w:type="dxa" w:w="181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理由</w:t>
            </w:r>
          </w:p>
        </w:tc>
        <w:tc>
          <w:tcPr>
            <w:tcW w:type="dxa" w:w="1190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影响的要求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BD-001</w:t>
            </w:r>
          </w:p>
        </w:tc>
        <w:tc>
          <w:tcPr>
            <w:tcW w:type="dxa" w:w="136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9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19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8. 评审要点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每条 Must 都能追溯到委托原文或甲方的书面答复。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未决事项没有被写成已承诺的数字。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RX 与 RA 的差异在功能分配表里出现，没有藏在正文形容词中。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基本设计没有复制 IN-03 的报文字段。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中文版与日文版的编号、表头和未决清单一致。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批准栏在技术评审通过之后才签署。</w:t>
      </w:r>
    </w:p>
    <w:p>
      <w:pPr>
        <w:pStyle w:val="Heading1"/>
      </w:pPr>
      <w:r>
        <w:t>9. 附录</w:t>
      </w:r>
    </w:p>
    <w:p>
      <w:pPr>
        <w:pStyle w:val="Heading2"/>
      </w:pPr>
      <w:r>
        <w:t>9.1 要求条目票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953"/>
      </w:tblGrid>
      <w:tr>
        <w:trPr>
          <w:tblHeader/>
        </w:trPr>
        <w:tc>
          <w:tcPr>
            <w:tcW w:type="dxa" w:w="3402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栏</w:t>
            </w:r>
          </w:p>
        </w:tc>
        <w:tc>
          <w:tcPr>
            <w:tcW w:type="dxa" w:w="5953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编号 / 优先级 / 状态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340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陈述（一句，含主语和可观察结果）</w:t>
            </w:r>
          </w:p>
        </w:tc>
        <w:tc>
          <w:tcPr>
            <w:tcW w:type="dxa" w:w="5953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出处（会议、邮件或 IN 编号与日期）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340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验收方法</w:t>
            </w:r>
          </w:p>
        </w:tc>
        <w:tc>
          <w:tcPr>
            <w:tcW w:type="dxa" w:w="5953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依赖的未决事项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340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设计节号 / 测试编号</w:t>
            </w:r>
          </w:p>
        </w:tc>
        <w:tc>
          <w:tcPr>
            <w:tcW w:type="dxa" w:w="5953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9.2 本框架与底稿的分工</w:t>
      </w:r>
    </w:p>
    <w:p>
      <w:r>
        <w:rPr>
          <w:rFonts w:ascii="Calibri" w:hAnsi="Calibri" w:eastAsia="微软雅黑" w:cs="微软雅黑"/>
          <w:b w:val="0"/>
          <w:sz w:val="21"/>
        </w:rPr>
        <w:t>IN-01 至 IN-05 继续作为作业底稿更新。准备提交甲方时，把已确认的条目填入第 6 章和第 7 章，并升版。底稿与本文件冲突时，以已批准的本文件为准；本文件尚未批准时，以日期较新且在修订记录中写明的底稿为准，同时记一条课题。</w:t>
      </w:r>
    </w:p>
    <w:p>
      <w:pPr>
        <w:pStyle w:val="Heading1"/>
      </w:pPr>
      <w:r>
        <w:t>批准</w:t>
      </w:r>
    </w:p>
    <w:p>
      <w:r>
        <w:rPr>
          <w:rFonts w:ascii="Calibri" w:hAnsi="Calibri" w:eastAsia="微软雅黑" w:cs="微软雅黑"/>
          <w:b w:val="0"/>
          <w:sz w:val="21"/>
        </w:rPr>
        <w:t>作成与评审由乙方执行。发行批准由甲方执行。姓名由本人签署，本框架不预填。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551"/>
        <w:gridCol w:w="1814"/>
        <w:gridCol w:w="1587"/>
        <w:gridCol w:w="1701"/>
      </w:tblGrid>
      <w:tr>
        <w:trPr>
          <w:tblHeader/>
        </w:trPr>
        <w:tc>
          <w:tcPr>
            <w:tcW w:type="dxa" w:w="170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组织</w:t>
            </w:r>
          </w:p>
        </w:tc>
        <w:tc>
          <w:tcPr>
            <w:tcW w:type="dxa" w:w="181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58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作成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BREXA Technology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乙方评审</w:t>
            </w:r>
          </w:p>
        </w:tc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BREXA Technology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5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甲方评审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株式会社ベリサーブ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批准</w:t>
            </w:r>
          </w:p>
        </w:tc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株式会社ベリサーブ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5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20" w:bottom="964" w:left="1020" w:header="34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微软雅黑" w:cs="微软雅黑"/>
        <w:b w:val="0"/>
        <w:color w:val="5B6770"/>
        <w:sz w:val="16"/>
      </w:rPr>
      <w:t xml:space="preserve">仅限相关方  ·  甲方 株式会社ベリサーブ  ·  乙方 BREXA Technology    </w:t>
    </w:r>
    <w:r>
      <w:rPr>
        <w:rFonts w:ascii="Calibri" w:hAnsi="Calibri" w:eastAsia="微软雅黑" w:cs="微软雅黑"/>
        <w:b w:val="0"/>
        <w:color w:val="5B6770"/>
        <w:sz w:val="16"/>
      </w:rPr>
      <w:fldChar w:fldCharType="begin"/>
      <w:instrText xml:space="preserve"> PAGE </w:instrText>
      <w:fldChar w:fldCharType="end"/>
    </w:r>
    <w:r>
      <w:rPr>
        <w:rFonts w:ascii="Calibri" w:hAnsi="Calibri" w:eastAsia="微软雅黑" w:cs="微软雅黑"/>
        <w:b w:val="0"/>
        <w:color w:val="5B6770"/>
        <w:sz w:val="16"/>
      </w:rPr>
      <w:t xml:space="preserve"> / </w:t>
    </w:r>
    <w:r>
      <w:rPr>
        <w:rFonts w:ascii="Calibri" w:hAnsi="Calibri" w:eastAsia="微软雅黑" w:cs="微软雅黑"/>
        <w:b w:val="0"/>
        <w:color w:val="5B6770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 w:cs="微软雅黑"/>
        <w:b w:val="0"/>
        <w:color w:val="5B6770"/>
        <w:sz w:val="16"/>
      </w:rPr>
      <w:t>RXRA-BD-01  |  要求分析与基本设计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微软雅黑"/>
      <w:b w:val="0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要求分析与基本设计</dc:title>
  <dc:subject>RXRA-BD-01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BREXA Technology / 株式会社ベリサーブ</cp:category>
  <dc:language>zh-CN</dc:language>
</cp:coreProperties>
</file>