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A769" w14:textId="11A12E4B" w:rsidR="00503A3C" w:rsidRPr="00DD26CB" w:rsidRDefault="00440966" w:rsidP="00DD26CB">
      <w:pPr>
        <w:pStyle w:val="a3"/>
      </w:pPr>
      <w:r w:rsidRPr="00440966">
        <w:t>OmicsMind: A VAE–Transformer Generative Model for Robust Completion of Block-Wise Missing Multi-Omics Data</w:t>
      </w:r>
      <w:r w:rsidR="0000580C" w:rsidRPr="00D14055">
        <w:rPr>
          <w:sz w:val="44"/>
          <w:szCs w:val="44"/>
        </w:rPr>
        <w:br w:type="page"/>
      </w:r>
    </w:p>
    <w:p w14:paraId="0353C4C2" w14:textId="77777777" w:rsidR="0000580C" w:rsidRDefault="0000580C" w:rsidP="0000580C">
      <w:pPr>
        <w:pStyle w:val="a3"/>
      </w:pPr>
    </w:p>
    <w:p w14:paraId="59893D22" w14:textId="5D593CA6" w:rsidR="004156B3" w:rsidRDefault="00C1268F" w:rsidP="0000580C">
      <w:pPr>
        <w:pStyle w:val="1"/>
      </w:pPr>
      <w:r>
        <w:rPr>
          <w:rFonts w:hint="eastAsia"/>
        </w:rPr>
        <w:t>A</w:t>
      </w:r>
      <w:r w:rsidR="004156B3">
        <w:rPr>
          <w:rFonts w:hint="eastAsia"/>
        </w:rPr>
        <w:t>bstract</w:t>
      </w:r>
    </w:p>
    <w:p w14:paraId="745313DC" w14:textId="6E98507D" w:rsidR="00E1281F" w:rsidRDefault="00E1281F" w:rsidP="00E1281F">
      <w:r>
        <w:t>Bulk multi-omics datasets often suffer from small sample sizes and extensive block-wise missingness, making reliable data completion essential for downstream biological analysis. Traditional imputation methods struggle to capture nonlinear dependencies across omics layers. To address this challenge, we propose OmicsMind, a generative framework that combines modality-specific Variational Autoencoders with a cross-omics Transformer. A masked-modality training strategy allows the model to learn how to infer missing modalities from available biological signals.</w:t>
      </w:r>
    </w:p>
    <w:p w14:paraId="23E9EAFB" w14:textId="6454ABC4" w:rsidR="00E1281F" w:rsidRDefault="00E1281F" w:rsidP="00E1281F">
      <w:r>
        <w:t>Across multiple experiments, OmicsMind demonstrates strong reconstruction accuracy, with imputed modalities closely resembling ground-truth data. The model preserves biologically meaningful cross-omics relationships and maintains pathway-level correlation structures. Furthermore, downstream tasks such as subtype classification show notable performance improvements when using OmicsMind-completed data compared to incomplete datasets.</w:t>
      </w:r>
    </w:p>
    <w:p w14:paraId="4785FFD9" w14:textId="5FE851D5" w:rsidR="00E1281F" w:rsidRPr="00E1281F" w:rsidRDefault="00E1281F" w:rsidP="00E1281F">
      <w:r>
        <w:t>Overall, OmicsMind provides an effective and biologically coherent solution for handling block-wise missingness in bulk multi-omics data.</w:t>
      </w:r>
    </w:p>
    <w:p w14:paraId="57F1E597" w14:textId="057455EB" w:rsidR="00BD3907" w:rsidRDefault="0037632D" w:rsidP="0037632D">
      <w:pPr>
        <w:pStyle w:val="1"/>
      </w:pPr>
      <w:r>
        <w:rPr>
          <w:rFonts w:hint="eastAsia"/>
        </w:rPr>
        <w:t>Introduction</w:t>
      </w:r>
    </w:p>
    <w:p w14:paraId="15450321" w14:textId="0BA5EDCB" w:rsidR="00F07D45" w:rsidRDefault="00F07D45" w:rsidP="00F07D45">
      <w:pPr>
        <w:rPr>
          <w:rFonts w:hint="eastAsia"/>
        </w:rPr>
      </w:pPr>
      <w:r>
        <w:t>Since the concept of "artificial intelligence" was introduced in 1956, AI has undergone several stages: the symbolic intelligence phase (1956–1980s), centered on logical reasoning and knowledge representation; the machine learning phase (1990–2011), characterized by statistical learning and feature engineering; the recognition intelligence phase (2012–2019), driven by deep neural networks for perceptual understanding; and the generative intelligence phase (post-2020) (Mundlamuri et al., 2025; Radanliev, 2025). Generative AI architectures have overcome many limitations of traditional recognition-based AI, enabling previously unattainable objectives such as multi-head attention and interpretability</w:t>
      </w:r>
      <w:r>
        <w:fldChar w:fldCharType="begin"/>
      </w:r>
      <w:r>
        <w:instrText xml:space="preserve"> ADDIN ZOTERO_ITEM CSL_CITATION {"citationID":"wIMmDz82","properties":{"formattedCitation":"(Sengar et al., 2025; Trigka &amp; Dritsas, 2025; Yazdani et al., 2025)","plainCitation":"(Sengar et al., 2025; Trigka &amp; Dritsas, 2025; Yazdani et al., 2025)","noteIndex":0},"citationItems":[{"id":426,"uris":["http://zotero.org/users/18029376/items/LXA2CP3T"],"itemData":{"id":426,"type":"article-journal","abstract":"In recent years, the study of artificial intelligence (AI) has undergone a paradigm shift. This has been propelled by the groundbreaking capabilities of generative models both in supervised and unsupervised learning scenarios. Generative AI has shown state-of-the-art performance in solving perplexing real-world conundrums in fields such as image translation, medical diagnostics, textual imagery fusion, natural language processing, and beyond. This paper documents the systematic review and analysis of recent advancements and techniques in Generative AI with a detailed discussion of their applications including application-specific models. Indeed, the major impact that generative AI has made to date, has been in language generation with the development of large language models, in the field of image translation and several other interdisciplinary applications of generative AI. Moreover, the primary contribution of this paper lies in its coherent synthesis of the latest advancements in these areas, seamlessly weaving together contemporary breakthroughs in the field. Particularly, how it shares an exploration of the future trajectory for generative AI. In conclusion, the paper ends with a discussion of Responsible AI principles, and the necessary ethical considerations for the sustainability and growth of these generative models.","container-title":"Multimedia Tools and Applications","DOI":"10.1007/s11042-024-20016-1","ISSN":"1573-7721","issue":"21","journalAbbreviation":"Multimed Tools Appl","language":"en","page":"23661-23700","source":"Springer Link","title":"Generative artificial intelligence: a systematic review and applications","title-short":"Generative artificial intelligence","volume":"84","author":[{"family":"Sengar","given":"Sandeep Singh"},{"family":"Hasan","given":"Affan Bin"},{"family":"Kumar","given":"Sanjay"},{"family":"Carroll","given":"Fiona"}],"issued":{"date-parts":[["2025",6,1]]}}},{"id":416,"uris":["http://zotero.org/users/18029376/items/C7JQ34CT"],"itemData":{"id":416,"type":"article-journal","abstract":"Generative artificial intelligence (AI) has revolutionized AI by enabling high-fidelity content creation across text, images, audio, and structured data. This survey explores the core methodologies, advancements, applications, and ongoing challenges of generative AI, covering key models such as Variational Autoencoders (VAEs), Generative Adversarial Networks (GANs), Diffusion Models, and Transformer-based architectures. These innovations have driven breakthroughs in healthcare, scientific computing, Natural Language Processing (NLP), computer vision, and autonomous systems. Despite its progress, generative AI faces challenges in bias mitigation, interpretability, computational efficiency, and ethical governance, necessitating research into scalable architectures, explainability, and AI safety mechanisms. Integrating Reinforcement Learning (RL), multi-modal learning, and self-supervised techniques enhances controllability and adaptability in generative models. Additionally, as AI reshapes industrial automation, digital media, and scientific discovery, its societal and economic implications demand robust policy frameworks. This survey provides a comprehensive analysis of generative AI’s current state and future directions, highlighting innovations in efficient generative modelling, AI-driven scientific reasoning, adversarial robustness, and ethical deployment. By consolidating theoretical insights and real-world applications, it offers a structured foundation for researchers, industry professionals, and policymakers to navigate the evolving landscape of generative AI.","container-title":"IEEE Access","DOI":"10.1109/ACCESS.2025.3574660","ISSN":"2169-3536","page":"98504-98529","source":"IEEE Xplore","title":"The Evolution of Generative AI: Trends and Applications","title-short":"The Evolution of Generative AI","volume":"13","author":[{"family":"Trigka","given":"Maria"},{"family":"Dritsas","given":"Elias"}],"issued":{"date-parts":[["2025"]]}}},{"id":410,"uris":["http://zotero.org/users/18029376/items/MKVKN88I"],"itemData":{"id":410,"type":"article","abstract":"In recent years, deep learning based generative models, particularly Generative Adversarial Networks (GANs), Variational Autoencoders (VAEs), and Diffusion Models (DMs), have been instrumental in in generating diverse, high-quality content across various domains, such as image and video synthesis. This capability has led to widespread adoption of these models and has captured strong public interest. As they continue to advance at a rapid pace, the growing volume of research, expanding application areas, and unresolved technical challenges make it increasingly difficult to stay current. To address this need, this survey introduces a comprehensive taxonomy that organizes the literature and provides a cohesive framework for understanding the development of GANs, VAEs, and DMs, including their many variants and combined approaches. We highlight key innovations that have improved the quality, diversity, and controllability of generated outputs, reflecting the expanding potential of generative artificial intelligence. In addition to summarizing technical progress, we examine rising ethical concerns, including the risks of misuse and the broader societal impact of synthetic media. Finally, we outline persistent challenges and propose future research directions, offering a structured and forward looking perspective for researchers in this fast evolving field.","DOI":"10.48550/arXiv.2510.21887","note":"arXiv:2510.21887 [cs]","number":"arXiv:2510.21887","publisher":"arXiv","source":"arXiv.org","title":"Generative AI in Depth: A Survey of Recent Advances, Model Variants, and Real-World Applications","title-short":"Generative AI in Depth","URL":"http://arxiv.org/abs/2510.21887","author":[{"family":"Yazdani","given":"Shamim"},{"family":"Singh","given":"Akansha"},{"family":"Saxena","given":"Nripsuta"},{"family":"Wang","given":"Zichong"},{"family":"Palikhe","given":"Avash"},{"family":"Pan","given":"Deng"},{"family":"Pal","given":"Umapada"},{"family":"Yang","given":"Jie"},{"family":"Zhang","given":"Wenbin"}],"accessed":{"date-parts":[["2025",11,3]]},"issued":{"date-parts":[["2025",10,23]]}}}],"schema":"https://github.com/citation-style-language/schema/raw/master/csl-citation.json"} </w:instrText>
      </w:r>
      <w:r>
        <w:fldChar w:fldCharType="separate"/>
      </w:r>
      <w:r w:rsidRPr="003F062E">
        <w:rPr>
          <w:rFonts w:ascii="等线" w:eastAsia="等线" w:hAnsi="等线"/>
        </w:rPr>
        <w:t>(Sengar et al., 2025; Trigka &amp; Dritsas, 2025; Yazdani et al., 2025)</w:t>
      </w:r>
      <w:r>
        <w:fldChar w:fldCharType="end"/>
      </w:r>
      <w:r>
        <w:t>.</w:t>
      </w:r>
    </w:p>
    <w:p w14:paraId="30ECF889" w14:textId="777D11D0" w:rsidR="00F07D45" w:rsidRPr="00F07D45" w:rsidRDefault="00F07D45" w:rsidP="00F07D45">
      <w:pPr>
        <w:rPr>
          <w:rFonts w:hint="eastAsia"/>
        </w:rPr>
      </w:pPr>
      <w:r>
        <w:t xml:space="preserve">The application of generative AI in biological fields, such as drug design and molecular </w:t>
      </w:r>
      <w:r>
        <w:lastRenderedPageBreak/>
        <w:t>structure prediction, has revolutionized healthcare</w:t>
      </w:r>
      <w:r>
        <w:fldChar w:fldCharType="begin"/>
      </w:r>
      <w:r>
        <w:instrText xml:space="preserve"> ADDIN ZOTERO_ITEM CSL_CITATION {"citationID":"RBQms7SL","properties":{"formattedCitation":"(Teo et al., 2025)","plainCitation":"(Teo et al., 2025)","noteIndex":0},"citationItems":[{"id":418,"uris":["http://zotero.org/users/18029376/items/6KSHCG6I"],"itemData":{"id":418,"type":"article-journal","abstract":"Generative artificial intelligence (GAI) can automate a growing number of biomedical tasks, ranging from clinical decision support to design and analysis of research studies. GAI uses machine learning and transformer model architectures to generate useful text, images and sound data in response to user queries. While previous biomedical deep-learning applications have used general-purpose datasets and enormous volumes of labeled data for training, evidence now suggests that GAI models may perform better while requiring less training data—for example, using smaller, domain-specific datasets. Moreover, AI techniques have progressed from fully supervised training to less label-intensive approaches, such as weakly supervised or unsupervised fine-tuning and reinforcement learning. Recent iterations of GAI, such as agents, mixture-of-expert models and reasoning models, have further extended their capabilities to assist with complex and multistage tasks. Here, we provide an overview of recent technical advancements in GAI. We explore the potential of the latest generation of models to improve healthcare for clinicians and patients, and discuss validation approaches using specific examples to illustrate challenges and opportunities for further work.","container-title":"Nature Medicine","DOI":"10.1038/s41591-025-03983-2","ISSN":"1546-170X","issue":"10","language":"en","license":"2025 Springer Nature America, Inc.","note":"publisher: Nature Publishing Group","page":"3270-3282","source":"www.nature.com","title":"Generative artificial intelligence in medicine","volume":"31","author":[{"family":"Teo","given":"Zhen Ling"},{"family":"Thirunavukarasu","given":"Arun James"},{"family":"Elangovan","given":"Kabilan"},{"family":"Cheng","given":"Haoran"},{"family":"Moova","given":"Prasanth"},{"family":"Soetikno","given":"Brian"},{"family":"Nielsen","given":"Christopher"},{"family":"Pollreisz","given":"Andreas"},{"family":"Ting","given":"Darren Shu Jeng"},{"family":"Morris","given":"Robert J. T."},{"family":"Shah","given":"Nigam H."},{"family":"Langlotz","given":"Curtis P."},{"family":"Ting","given":"Daniel Shu Wei"}],"issued":{"date-parts":[["2025",10]]}}}],"schema":"https://github.com/citation-style-language/schema/raw/master/csl-citation.json"} </w:instrText>
      </w:r>
      <w:r>
        <w:fldChar w:fldCharType="separate"/>
      </w:r>
      <w:r w:rsidRPr="000A618D">
        <w:rPr>
          <w:rFonts w:ascii="等线" w:eastAsia="等线" w:hAnsi="等线"/>
        </w:rPr>
        <w:t>(Teo et al., 2025)</w:t>
      </w:r>
      <w:r>
        <w:fldChar w:fldCharType="end"/>
      </w:r>
      <w:r>
        <w:t>. In single-cell omics and transcriptomics, scGPT and xTrimoGene have successfully developed specialized models based on the Transformer architecture</w:t>
      </w:r>
      <w:r w:rsidRPr="00F07D45">
        <w:t xml:space="preserve"> </w:t>
      </w:r>
      <w:r>
        <w:fldChar w:fldCharType="begin"/>
      </w:r>
      <w:r>
        <w:instrText xml:space="preserve"> ADDIN ZOTERO_ITEM CSL_CITATION {"citationID":"YsASThmC","properties":{"formattedCitation":"(Cui et al., 2024)","plainCitation":"(Cui et al., 2024)","noteIndex":0},"citationItems":[{"id":403,"uris":["http://zotero.org/users/18029376/items/AB264C74"],"itemData":{"id":403,"type":"article-journal","abstract":"Generative pretrained models have achieved remarkable success in various domains such as language and computer vision. Specifically, the combination of large-scale diverse datasets and pretrained transformers has emerged as a promising approach for developing foundation models. Drawing parallels between language and cellular biology (in which texts comprise words; similarly, cells are defined by genes), our study probes the applicability of foundation models to advance cellular biology and genetic research. Using burgeoning single-cell sequencing data, we have constructed a foundation model for single-cell biology, scGPT, based on a generative pretrained transformer across a repository of over 33 million cells. Our findings illustrate that scGPT effectively distills critical biological insights concerning genes and cells. Through further adaptation of transfer learning, scGPT can be optimized to achieve superior performance across diverse downstream applications. This includes tasks such as cell type annotation, multi-batch integration, multi-omic integration, perturbation response prediction and gene network inference.","container-title":"Nature Methods","DOI":"10.1038/s41592-024-02201-0","ISSN":"1548-7105","issue":"8","journalAbbreviation":"Nat Methods","language":"en","license":"2024 The Author(s), under exclusive licence to Springer Nature America, Inc.","note":"publisher: Nature Publishing Group","page":"1470-1480","source":"www.nature.com","title":"scGPT: toward building a foundation model for single-cell multi-omics using generative AI","title-short":"scGPT","volume":"21","author":[{"family":"Cui","given":"Haotian"},{"family":"Wang","given":"Chloe"},{"family":"Maan","given":"Hassaan"},{"family":"Pang","given":"Kuan"},{"family":"Luo","given":"Fengning"},{"family":"Duan","given":"Nan"},{"family":"Wang","given":"Bo"}],"issued":{"date-parts":[["2024",8]]}}}],"schema":"https://github.com/citation-style-language/schema/raw/master/csl-citation.json"} </w:instrText>
      </w:r>
      <w:r>
        <w:fldChar w:fldCharType="separate"/>
      </w:r>
      <w:r w:rsidRPr="00C07089">
        <w:rPr>
          <w:rFonts w:ascii="等线" w:eastAsia="等线" w:hAnsi="等线"/>
        </w:rPr>
        <w:t>(Cui et al., 2024)</w:t>
      </w:r>
      <w:r>
        <w:fldChar w:fldCharType="end"/>
      </w:r>
      <w:r>
        <w:t xml:space="preserve"> </w:t>
      </w:r>
      <w:r>
        <w:fldChar w:fldCharType="begin"/>
      </w:r>
      <w:r>
        <w:instrText xml:space="preserve"> ADDIN ZOTERO_ITEM CSL_CITATION {"citationID":"Zt5alkxw","properties":{"formattedCitation":"(Gong et al., 2024)","plainCitation":"(Gong et al., 2024)","noteIndex":0},"citationItems":[{"id":405,"uris":["http://zotero.org/users/18029376/items/KRIE6YW7"],"itemData":{"id":405,"type":"article","abstract":"Advances in high-throughput sequencing technology have led to significant progress in measuring gene expressions at the single-cell level. The amount of publicly available single-cell RNA-seq (scRNA-seq) data is already surpassing 50M records for humans with each record measuring 20,000 genes. This highlights the need for unsupervised representation learning to fully ingest these data, yet classical transformer architectures are prohibitive to train on such data in terms of both computation and memory. To address this challenge, we propose a novel asymmetric encoder-decoder transformer for scRNA-seq data, called xTrimoGene$^\\alpha$ (or xTrimoGene for short), which leverages the sparse characteristic of the data to scale up the pre-training. This scalable design of xTrimoGene reduces FLOPs by one to two orders of magnitude compared to classical transformers while maintaining high accuracy, enabling us to train the largest transformer models over the largest scRNA-seq dataset today. Our experiments also show that the performance of xTrimoGene improves as we scale up the model sizes, and it also leads to SOTA performance over various downstream tasks, such as cell type annotation, perturb-seq effect prediction, and drug combination prediction. xTrimoGene model is now available for use as a service via the following link: https://api.biomap.com/xTrimoGene/apply.","DOI":"10.48550/arXiv.2311.15156","note":"arXiv:2311.15156 [cs]","number":"arXiv:2311.15156","publisher":"arXiv","source":"arXiv.org","title":"xTrimoGene: An Efficient and Scalable Representation Learner for Single-Cell RNA-Seq Data","title-short":"xTrimoGene","URL":"http://arxiv.org/abs/2311.15156","author":[{"family":"Gong","given":"Jing"},{"family":"Hao","given":"Minsheng"},{"family":"Cheng","given":"Xingyi"},{"family":"Zeng","given":"Xin"},{"family":"Liu","given":"Chiming"},{"family":"Ma","given":"Jianzhu"},{"family":"Zhang","given":"Xuegong"},{"family":"Wang","given":"Taifeng"},{"family":"Song","given":"Le"}],"accessed":{"date-parts":[["2025",10,29]]},"issued":{"date-parts":[["2024",2,24]]}}}],"schema":"https://github.com/citation-style-language/schema/raw/master/csl-citation.json"} </w:instrText>
      </w:r>
      <w:r>
        <w:fldChar w:fldCharType="separate"/>
      </w:r>
      <w:r w:rsidRPr="00C07089">
        <w:rPr>
          <w:rFonts w:ascii="等线" w:eastAsia="等线" w:hAnsi="等线"/>
        </w:rPr>
        <w:t>(Gong et al., 2024)</w:t>
      </w:r>
      <w:r>
        <w:fldChar w:fldCharType="end"/>
      </w:r>
      <w:r>
        <w:t xml:space="preserve">. In structural biology, DiffusionDDPM-protein has constructed a generative model based on the Diffusion architecture capable of predicting protein folding </w:t>
      </w:r>
      <w:r>
        <w:fldChar w:fldCharType="begin"/>
      </w:r>
      <w:r>
        <w:instrText xml:space="preserve"> ADDIN ZOTERO_ITEM CSL_CITATION {"citationID":"KfSXfewa","properties":{"formattedCitation":"(W. Li et al., 2025)","plainCitation":"(W. Li et al., 2025)","noteIndex":0},"citationItems":[{"id":435,"uris":["http://zotero.org/users/18029376/items/PUWMGTCD"],"itemData":{"id":435,"type":"article","abstract":"Protein design with desirable properties has been a significant challenge for many decades. Generative artificial intelligence is a promising approach and has achieved great success in various protein generation tasks. Notably, diffusion models stand out for their robust mathematical foundations and impressive generative capabilities, offering unique advantages in certain applications such as protein design. In this review, we first give the definition and characteristics of diffusion models and then focus on two strategies: Denoising Diffusion Probabilistic Models and Score-based Generative Models, where DDPM is the discrete form of SGM. Furthermore, we discuss their applications in protein design, peptide generation, drug discovery, and protein-ligand interaction. Finally, we outline the future perspectives of diffusion models to advance autonomous protein design and engineering. The E(3) group consists of all rotations, reflections, and translations in three-dimensions. The equivariance on the E(3) group can keep the physical stability of the frame of each amino acid as much as possible, and we reflect on how to keep the diffusion model E(3) equivariant for protein generation.","DOI":"10.48550/arXiv.2501.02680","note":"arXiv:2501.02680 [q-bio]","number":"arXiv:2501.02680","publisher":"arXiv","source":"arXiv.org","title":"From thermodynamics to protein design: Diffusion models for biomolecule generation towards autonomous protein engineering","title-short":"From thermodynamics to protein design","URL":"http://arxiv.org/abs/2501.02680","author":[{"family":"Li","given":"Wen-ran"},{"family":"Cadet","given":"Xavier F."},{"family":"Medina-Ortiz","given":"David"},{"family":"Davari","given":"Mehdi D."},{"family":"Sowdhamini","given":"Ramanathan"},{"family":"Damour","given":"Cedric"},{"family":"Li","given":"Yu"},{"family":"Miranville","given":"Alain"},{"family":"Cadet","given":"Frederic"}],"accessed":{"date-parts":[["2025",11,4]]},"issued":{"date-parts":[["2025",1,5]]}}}],"schema":"https://github.com/citation-style-language/schema/raw/master/csl-citation.json"} </w:instrText>
      </w:r>
      <w:r>
        <w:fldChar w:fldCharType="separate"/>
      </w:r>
      <w:r w:rsidRPr="008D14C6">
        <w:rPr>
          <w:rFonts w:ascii="等线" w:eastAsia="等线" w:hAnsi="等线"/>
        </w:rPr>
        <w:t>(W. Li et al., 2025)</w:t>
      </w:r>
      <w:r>
        <w:fldChar w:fldCharType="end"/>
      </w:r>
      <w:r>
        <w:t>. These generative models address problems that traditional models could not solve and have achieved significant results in specific biological research areas, particularly in single-cell studies. However, as of now, the author has not identified any generative models specifically optimized for bulk multi-omics data.</w:t>
      </w:r>
    </w:p>
    <w:p w14:paraId="0384AAC7" w14:textId="37EC64A0" w:rsidR="00600895" w:rsidRPr="00840FAF" w:rsidRDefault="00600895" w:rsidP="00600895">
      <w:r>
        <w:t>Bulk multi-omics technologies enable simultaneous measurement of multiple molecular layers, offering deeper insights into complex biological systems than single-omics approaches</w:t>
      </w:r>
      <w:r w:rsidR="00DD26CB">
        <w:fldChar w:fldCharType="begin"/>
      </w:r>
      <w:r w:rsidR="00DD26CB">
        <w:instrText xml:space="preserve"> ADDIN ZOTERO_ITEM CSL_CITATION {"citationID":"2GPpnCCf","properties":{"formattedCitation":"(Mayer, 2011)","plainCitation":"(Mayer, 2011)","noteIndex":0},"citationItems":[{"id":261,"uris":["http://zotero.org/users/18029376/items/Z3KWX9QL"],"itemData":{"id":261,"type":"book","collection-title":"Methods in Molecular Biology","event-place":"Totowa, NJ","ISBN":"978-1-61779-026-3","language":"en","license":"https://www.springernature.com/gp/researchers/text-and-data-mining","note":"DOI: 10.1007/978-1-61779-027-0","publisher":"Humana Press","publisher-place":"Totowa, NJ","source":"DOI.org (Crossref)","title":"Bioinformatics for Omics Data: Methods and Protocols","title-short":"Bioinformatics for Omics Data","URL":"https://link.springer.com/10.1007/978-1-61779-027-0","volume":"719","editor":[{"family":"Mayer","given":"Bernd"}],"accessed":{"date-parts":[["2025",9,10]]},"issued":{"date-parts":[["2011"]]}}}],"schema":"https://github.com/citation-style-language/schema/raw/master/csl-citation.json"} </w:instrText>
      </w:r>
      <w:r w:rsidR="00DD26CB">
        <w:fldChar w:fldCharType="separate"/>
      </w:r>
      <w:r w:rsidR="00DD26CB" w:rsidRPr="00F6024E">
        <w:rPr>
          <w:rFonts w:ascii="等线" w:eastAsia="等线" w:hAnsi="等线"/>
        </w:rPr>
        <w:t>(Mayer, 2011)</w:t>
      </w:r>
      <w:r w:rsidR="00DD26CB">
        <w:fldChar w:fldCharType="end"/>
      </w:r>
      <w:r>
        <w:t>. However, real-world bulk datasets often suffer from small sample sizes and block-wise missingness, where entire omics modalities are absent for subsets of samples due to cost, tissue limitations, or platform-specific failures</w:t>
      </w:r>
      <w:r w:rsidR="00DD26CB">
        <w:fldChar w:fldCharType="begin"/>
      </w:r>
      <w:r w:rsidR="00DD26CB">
        <w:instrText xml:space="preserve"> ADDIN ZOTERO_ITEM CSL_CITATION {"citationID":"nqD4L0zk","properties":{"formattedCitation":"(R. Li et al., 2022)","plainCitation":"(R. Li et al., 2022)","noteIndex":0},"citationItems":[{"id":438,"uris":["http://zotero.org/users/18029376/items/QKCYK45V"],"itemData":{"id":438,"type":"article-journal","abstract":"The innovation of biotechnologies has allowed the accumulation of omics data at an alarming rate, thus introducing the era of ‘big data’. Extracting inherent valuable knowledge from various omics data remains a daunting problem in bioinformatics. Better solutions often need some kind of more innovative methods for efficient handlings and effective results. Recent advancements in integrated analysis and computational modeling of multi-omics data helped address such needs in an increasingly harmonious manner. The development and application of machine learning have largely advanced our insights into biology and biomedicine and greatly promoted the development of therapeutic strategies, especially for precision medicine. Here, we propose a comprehensive survey and discussion on what happened, is happening and will happen when machine learning meets omics. Specifically, we describe how artificial intelligence can be applied to omics studies and review recent advancements at the interface between machine learning and the ever-widest range of omics including genomics, transcriptomics, proteomics, metabolomics, radiomics, as well as those at the single-cell resolution. We also discuss and provide a synthesis of ideas, new insights, current challenges and perspectives of machine learning in omics.","container-title":"Briefings in Bioinformatics","DOI":"10.1093/bib/bbab460","ISSN":"1477-4054","issue":"1","journalAbbreviation":"Brief Bioinform","page":"bbab460","source":"Silverchair","title":"Machine learning meets omics: applications and perspectives","title-short":"Machine learning meets omics","volume":"23","author":[{"family":"Li","given":"Rufeng"},{"family":"Li","given":"Lixin"},{"family":"Xu","given":"Yungang"},{"family":"Yang","given":"Juan"}],"issued":{"date-parts":[["2022",1,1]]}}}],"schema":"https://github.com/citation-style-language/schema/raw/master/csl-citation.json"} </w:instrText>
      </w:r>
      <w:r w:rsidR="00DD26CB">
        <w:fldChar w:fldCharType="separate"/>
      </w:r>
      <w:r w:rsidR="00DD26CB" w:rsidRPr="008D14C6">
        <w:rPr>
          <w:rFonts w:ascii="等线" w:eastAsia="等线" w:hAnsi="等线"/>
        </w:rPr>
        <w:t>(R. Li et al., 2022)</w:t>
      </w:r>
      <w:r w:rsidR="00DD26CB">
        <w:fldChar w:fldCharType="end"/>
      </w:r>
      <w:r w:rsidR="00DD26CB" w:rsidRPr="00DD26CB">
        <w:t xml:space="preserve"> </w:t>
      </w:r>
      <w:r w:rsidR="00DD26CB">
        <w:fldChar w:fldCharType="begin"/>
      </w:r>
      <w:r w:rsidR="00DD26CB">
        <w:instrText xml:space="preserve"> ADDIN ZOTERO_ITEM CSL_CITATION {"citationID":"IFNXY9ha","properties":{"formattedCitation":"(Karczewski et al., 2020)","plainCitation":"(Karczewski et al., 2020)","noteIndex":0},"citationItems":[{"id":446,"uris":["http://zotero.org/users/18029376/items/NNZSN389"],"itemData":{"id":446,"type":"article-journal","abstract":"Genetic variants that inactivate protein-coding genes are a powerful source of information about the phenotypic consequences of gene disruption: genes that are crucial for the function of an organism will be depleted of such variants in natural populations, whereas non-essential genes will tolerate their accumulation. However, predicted loss-of-function variants are enriched for annotation errors, and tend to be found at extremely low frequencies, so their analysis requires careful variant annotation and very large sample sizes1. Here we describe the aggregation of 125,748 exomes and 15,708 genomes from human sequencing studies into the Genome Aggregation Database (gnomAD). We identify 443,769 high-confidence predicted loss-of-function variants in this cohort after filtering for artefacts caused by sequencing and annotation errors. Using an improved model of human mutation rates, we classify human protein-coding genes along a spectrum that represents tolerance to inactivation, validate this classification using data from model organisms and engineered human cells, and show that it can be used to improve the power of gene discovery for both common and rare diseases.","container-title":"Nature","DOI":"10.1038/s41586-020-2308-7","ISSN":"1476-4687","issue":"7809","language":"en","license":"2020 The Author(s)","note":"publisher: Nature Publishing Group","page":"434-443","source":"www.nature.com","title":"The mutational constraint spectrum quantified from variation in 141,456 humans","volume":"581","author":[{"family":"Karczewski","given":"Konrad J."},{"family":"Francioli","given":"Laurent C."},{"family":"Tiao","given":"Grace"},{"family":"Cummings","given":"Beryl B."},{"family":"Alföldi","given":"Jessica"},{"family":"Wang","given":"Qingbo"},{"family":"Collins","given":"Ryan L."},{"family":"Laricchia","given":"Kristen M."},{"family":"Ganna","given":"Andrea"},{"family":"Birnbaum","given":"Daniel P."},{"family":"Gauthier","given":"Laura D."},{"family":"Brand","given":"Harrison"},{"family":"Solomonson","given":"Matthew"},{"family":"Watts","given":"Nicholas A."},{"family":"Rhodes","given":"Daniel"},{"family":"Singer-Berk","given":"Moriel"},{"family":"England","given":"Eleina M."},{"family":"Seaby","given":"Eleanor G."},{"family":"Kosmicki","given":"Jack A."},{"family":"Walters","given":"Raymond K."},{"family":"Tashman","given":"Katherine"},{"family":"Farjoun","given":"Yossi"},{"family":"Banks","given":"Eric"},{"family":"Poterba","given":"Timothy"},{"family":"Wang","given":"Arcturus"},{"family":"Seed","given":"Cotton"},{"family":"Whiffin","given":"Nicola"},{"family":"Chong","given":"Jessica X."},{"family":"Samocha","given":"Kaitlin E."},{"family":"Pierce-Hoffman","given":"Emma"},{"family":"Zappala","given":"Zachary"},{"family":"O’Donnell-Luria","given":"Anne H."},{"family":"Minikel","given":"Eric Vallabh"},{"family":"Weisburd","given":"Ben"},{"family":"Lek","given":"Monkol"},{"family":"Ware","given":"James S."},{"family":"Vittal","given":"Christopher"},{"family":"Armean","given":"Irina M."},{"family":"Bergelson","given":"Louis"},{"family":"Cibulskis","given":"Kristian"},{"family":"Connolly","given":"Kristen M."},{"family":"Covarrubias","given":"Miguel"},{"family":"Donnelly","given":"Stacey"},{"family":"Ferriera","given":"Steven"},{"family":"Gabriel","given":"Stacey"},{"family":"Gentry","given":"Jeff"},{"family":"Gupta","given":"Namrata"},{"family":"Jeandet","given":"Thibault"},{"family":"Kaplan","given":"Diane"},{"family":"Llanwarne","given":"Christopher"},{"family":"Munshi","given":"Ruchi"},{"family":"Novod","given":"Sam"},{"family":"Petrillo","given":"Nikelle"},{"family":"Roazen","given":"David"},{"family":"Ruano-Rubio","given":"Valentin"},{"family":"Saltzman","given":"Andrea"},{"family":"Schleicher","given":"Molly"},{"family":"Soto","given":"Jose"},{"family":"Tibbetts","given":"Kathleen"},{"family":"Tolonen","given":"Charlotte"},{"family":"Wade","given":"Gordon"},{"family":"Talkowski","given":"Michael E."},{"family":"Neale","given":"Benjamin M."},{"family":"Daly","given":"Mark J."},{"family":"MacArthur","given":"Daniel G."}],"issued":{"date-parts":[["2020",5]]}}}],"schema":"https://github.com/citation-style-language/schema/raw/master/csl-citation.json"} </w:instrText>
      </w:r>
      <w:r w:rsidR="00DD26CB">
        <w:fldChar w:fldCharType="separate"/>
      </w:r>
      <w:r w:rsidR="00DD26CB" w:rsidRPr="001D0384">
        <w:rPr>
          <w:rFonts w:ascii="等线" w:eastAsia="等线" w:hAnsi="等线"/>
        </w:rPr>
        <w:t>(Karczewski et al., 2020)</w:t>
      </w:r>
      <w:r w:rsidR="00DD26CB">
        <w:fldChar w:fldCharType="end"/>
      </w:r>
      <w:r>
        <w:t>. These issues substantially hinder downstream analyses such as subtype classification, biomarker discovery, and pathway inference.</w:t>
      </w:r>
    </w:p>
    <w:p w14:paraId="51D2BB96" w14:textId="355545A7" w:rsidR="00600895" w:rsidRDefault="00600895" w:rsidP="00600895">
      <w:r>
        <w:t>Most existing imputation strategies</w:t>
      </w:r>
      <w:r w:rsidR="00840FAF">
        <w:rPr>
          <w:rFonts w:hint="eastAsia"/>
        </w:rPr>
        <w:t xml:space="preserve"> </w:t>
      </w:r>
      <w:r>
        <w:t>including statistical approaches and conventional machine learning methods</w:t>
      </w:r>
      <w:r w:rsidR="00840FAF">
        <w:rPr>
          <w:rFonts w:hint="eastAsia"/>
        </w:rPr>
        <w:t xml:space="preserve"> </w:t>
      </w:r>
      <w:r>
        <w:t>are not designed to model nonlinear cross-omics dependencies under extensive missingness</w:t>
      </w:r>
      <w:r w:rsidR="00DD26CB">
        <w:fldChar w:fldCharType="begin"/>
      </w:r>
      <w:r w:rsidR="00DD26CB">
        <w:instrText xml:space="preserve"> ADDIN ZOTERO_ITEM CSL_CITATION {"citationID":"ISK8U8LW","properties":{"formattedCitation":"(Meng et al., 2016)","plainCitation":"(Meng et al., 2016)","noteIndex":0},"citationItems":[{"id":441,"uris":["http://zotero.org/users/18029376/items/K87M24K3"],"itemData":{"id":441,"type":"article-journal","abstract":"State-of-the-art next-generation sequencing, transcriptomics, proteomics and other high-throughput ‘omics' technologies enable the efficient generation of large experimental data sets. These data may yield unprecedented knowledge about molecular pathways in cells and their role in disease. Dimension reduction approaches have been widely used in exploratory analysis of single omics data sets. This review will focus on dimension reduction approaches for simultaneous exploratory analyses of multiple data sets. These methods extract the linear relationships that best explain the correlated structure across data sets, the variability both within and between variables (or observations) and may highlight data issues such as batch effects or outliers. We explore dimension reduction techniques as one of the emerging approaches for data integration, and how these can be applied to increase our understanding of biological systems in normal physiological function and disease.","container-title":"Briefings in Bioinformatics","DOI":"10.1093/bib/bbv108","ISSN":"1467-5463","issue":"4","journalAbbreviation":"Brief Bioinform","page":"628-641","source":"Silverchair","title":"Dimension reduction techniques for the integrative analysis of multi-omics data","volume":"17","author":[{"family":"Meng","given":"Chen"},{"family":"Zeleznik","given":"Oana A."},{"family":"Thallinger","given":"Gerhard G."},{"family":"Kuster","given":"Bernhard"},{"family":"Gholami","given":"Amin M."},{"family":"Culhane","given":"Aedín C."}],"issued":{"date-parts":[["2016",7,1]]}}}],"schema":"https://github.com/citation-style-language/schema/raw/master/csl-citation.json"} </w:instrText>
      </w:r>
      <w:r w:rsidR="00DD26CB">
        <w:fldChar w:fldCharType="separate"/>
      </w:r>
      <w:r w:rsidR="00DD26CB" w:rsidRPr="001D0384">
        <w:rPr>
          <w:rFonts w:ascii="等线" w:eastAsia="等线" w:hAnsi="等线"/>
        </w:rPr>
        <w:t>(Meng et al., 2016)</w:t>
      </w:r>
      <w:r w:rsidR="00DD26CB">
        <w:fldChar w:fldCharType="end"/>
      </w:r>
      <w:r>
        <w:t>. Meanwhile, recent advances in generative artificial intelligence suggest that architectures such as Variational Autoencoders</w:t>
      </w:r>
      <w:r w:rsidR="00DD26CB">
        <w:fldChar w:fldCharType="begin"/>
      </w:r>
      <w:r w:rsidR="00DD26CB">
        <w:instrText xml:space="preserve"> ADDIN ZOTERO_ITEM CSL_CITATION {"citationID":"HhF79qDa","properties":{"formattedCitation":"(Kingma &amp; Welling, 2013)","plainCitation":"(Kingma &amp; Welling, 2013)","noteIndex":0},"citationItems":[{"id":461,"uris":["http://zotero.org/users/18029376/items/LTGVNBAM"],"itemData":{"id":461,"type":"article","abstract":"Can we efficiently learn the parameters of directed probabilistic models, in the presence of continuous latent variables with intractable posterior distributions, and in case of large datasets? We introduce a novel learning and approximate inference method that works efficiently, under some mild conditions, even in the on-line and intractable case. The method involves optimization of a stochastic objective function that can be straightforwardly optimized w.r.t. all parameters, using standard gradient-based optimization methods. The method does not require the typically expensive sampling loops per datapoint required for Monte Carlo EM, and all parameter updates correspond to optimization of the variational lower bound of the marginal likelihood, unlike the wake-sleep algorithm. These theoretical advantages are reflected in experimental results.","DOI":"10.48550/arXiv.1312.6114","note":"arXiv:1312.6114 [stat]\nversion: 1","number":"arXiv:1312.6114","publisher":"arXiv","source":"arXiv.org","title":"Auto-Encoding Variational Bayes","URL":"http://arxiv.org/abs/1312.6114","author":[{"family":"Kingma","given":"Diederik P."},{"family":"Welling","given":"Max"}],"accessed":{"date-parts":[["2025",11,4]]},"issued":{"date-parts":[["2013",12,20]]}}}],"schema":"https://github.com/citation-style-language/schema/raw/master/csl-citation.json"} </w:instrText>
      </w:r>
      <w:r w:rsidR="00DD26CB">
        <w:fldChar w:fldCharType="separate"/>
      </w:r>
      <w:r w:rsidR="00DD26CB" w:rsidRPr="003A5EF8">
        <w:rPr>
          <w:rFonts w:ascii="等线" w:eastAsia="等线" w:hAnsi="等线"/>
        </w:rPr>
        <w:t>(Kingma &amp; Welling, 2013)</w:t>
      </w:r>
      <w:r w:rsidR="00DD26CB">
        <w:fldChar w:fldCharType="end"/>
      </w:r>
      <w:r w:rsidR="00F07D45">
        <w:rPr>
          <w:rFonts w:hint="eastAsia"/>
        </w:rPr>
        <w:t>,</w:t>
      </w:r>
      <w:r>
        <w:t xml:space="preserve"> Transformers</w:t>
      </w:r>
      <w:r w:rsidR="00DD26CB">
        <w:fldChar w:fldCharType="begin"/>
      </w:r>
      <w:r w:rsidR="00DD26CB">
        <w:instrText xml:space="preserve"> ADDIN ZOTERO_ITEM CSL_CITATION {"citationID":"CIxPRClC","properties":{"formattedCitation":"(Vaswani et al., 2017)","plainCitation":"(Vaswani et al., 2017)","noteIndex":0},"citationItems":[{"id":448,"uris":["http://zotero.org/users/18029376/items/DIRCM3PX"],"itemData":{"id":448,"type":"article","abstract":"The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[cs]\nversion: 1","number":"arXiv:1706.03762","publisher":"arXiv","source":"arXiv.org","title":"Attention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N."},{"family":"Kaiser","given":"Lukasz"},{"family":"Polosukhin","given":"Illia"}],"accessed":{"date-parts":[["2025",11,4]]},"issued":{"date-parts":[["2017",6,12]]}}}],"schema":"https://github.com/citation-style-language/schema/raw/master/csl-citation.json"} </w:instrText>
      </w:r>
      <w:r w:rsidR="00DD26CB">
        <w:fldChar w:fldCharType="separate"/>
      </w:r>
      <w:r w:rsidR="00DD26CB" w:rsidRPr="008D14C6">
        <w:rPr>
          <w:rFonts w:ascii="等线" w:eastAsia="等线" w:hAnsi="等线"/>
        </w:rPr>
        <w:t>(Vaswani et al., 2017)</w:t>
      </w:r>
      <w:r w:rsidR="00DD26CB">
        <w:fldChar w:fldCharType="end"/>
      </w:r>
      <w:r w:rsidR="00F07D45">
        <w:rPr>
          <w:rFonts w:hint="eastAsia"/>
        </w:rPr>
        <w:t xml:space="preserve"> and mask strategy</w:t>
      </w:r>
      <w:r w:rsidR="00DD26CB" w:rsidRPr="00DD26CB">
        <w:t xml:space="preserve"> </w:t>
      </w:r>
      <w:r w:rsidR="00DD26CB">
        <w:fldChar w:fldCharType="begin"/>
      </w:r>
      <w:r w:rsidR="00DD26CB">
        <w:instrText xml:space="preserve"> ADDIN ZOTERO_ITEM CSL_CITATION {"citationID":"JwV6cH1D","properties":{"formattedCitation":"(He et al., 2021)","plainCitation":"(He et al., 2021)","noteIndex":0},"citationItems":[{"id":468,"uris":["http://zotero.org/users/18029376/items/YWMLNW3G"],"itemData":{"id":468,"type":"article","abstract":"This paper shows that masked autoencoders (MAE) are scalable self-supervised learners for computer vision. Our MAE approach is simple: we mask random patches of the input image and reconstruct the missing pixels. It is based on two core designs. First, we develop an asymmetric encoder-decoder architecture, with an encoder that operates only on the visible subset of patches (without mask tokens), along with a lightweight decoder that reconstructs the original image from the latent representation and mask tokens. Second, we find that masking a high proportion of the input image, e.g., 75%, yields a nontrivial and meaningful self-supervisory task. Coupling these two designs enables us to train large models efficiently and effectively: we accelerate training (by 3x or more) and improve accuracy. Our scalable approach allows for learning high-capacity models that generalize well: e.g., a vanilla ViT-Huge model achieves the best accuracy (87.8%) among methods that use only ImageNet-1K data. Transfer performance in downstream tasks outperforms supervised pre-training and shows promising scaling behavior.","DOI":"10.48550/arXiv.2111.06377","note":"arXiv:2111.06377 [cs]","number":"arXiv:2111.06377","publisher":"arXiv","source":"arXiv.org","title":"Masked Autoencoders Are Scalable Vision Learners","URL":"http://arxiv.org/abs/2111.06377","author":[{"family":"He","given":"Kaiming"},{"family":"Chen","given":"Xinlei"},{"family":"Xie","given":"Saining"},{"family":"Li","given":"Yanghao"},{"family":"Dollár","given":"Piotr"},{"family":"Girshick","given":"Ross"}],"accessed":{"date-parts":[["2025",11,4]]},"issued":{"date-parts":[["2021",12,19]]}}}],"schema":"https://github.com/citation-style-language/schema/raw/master/csl-citation.json"} </w:instrText>
      </w:r>
      <w:r w:rsidR="00DD26CB">
        <w:fldChar w:fldCharType="separate"/>
      </w:r>
      <w:r w:rsidR="00DD26CB" w:rsidRPr="0005348D">
        <w:rPr>
          <w:rFonts w:ascii="等线" w:eastAsia="等线" w:hAnsi="等线"/>
        </w:rPr>
        <w:t>(He et al., 2021)</w:t>
      </w:r>
      <w:r w:rsidR="00DD26CB">
        <w:fldChar w:fldCharType="end"/>
      </w:r>
      <w:r>
        <w:t xml:space="preserve"> may offer a promising way to learn latent biological structure from incomplete data.</w:t>
      </w:r>
    </w:p>
    <w:p w14:paraId="555CCF65" w14:textId="1C7344FB" w:rsidR="00600895" w:rsidRDefault="00600895" w:rsidP="00600895">
      <w:r>
        <w:t>In this work, we introduce OmicsMind, a hybrid VAE–Transformer generative framework specifically designed to reconstruct missing omics modalities in block-wise incomplete bulk datasets. By combining modality-specific VAEs, cross-omics attention, and a masked-modality training strategy, OmicsMind aims to generate realistic, biologically coherent imputations that enhance downstream analyses.</w:t>
      </w:r>
    </w:p>
    <w:p w14:paraId="0228A602" w14:textId="20312317" w:rsidR="00566B44" w:rsidRDefault="0037632D" w:rsidP="0037632D">
      <w:pPr>
        <w:pStyle w:val="1"/>
      </w:pPr>
      <w:r>
        <w:rPr>
          <w:rFonts w:hint="eastAsia"/>
        </w:rPr>
        <w:t>Background</w:t>
      </w:r>
    </w:p>
    <w:p w14:paraId="3B723145" w14:textId="77777777" w:rsidR="00DD26CB" w:rsidRPr="00840FAF" w:rsidRDefault="00DD26CB" w:rsidP="00DD26CB">
      <w:pPr>
        <w:pStyle w:val="2"/>
      </w:pPr>
      <w:r>
        <w:rPr>
          <w:rFonts w:hint="eastAsia"/>
        </w:rPr>
        <w:t xml:space="preserve">3.1 </w:t>
      </w:r>
      <w:r>
        <w:t>Generative AI for Biological Data Modeling</w:t>
      </w:r>
    </w:p>
    <w:p w14:paraId="26D8F2D1" w14:textId="77777777" w:rsidR="00DD26CB" w:rsidRDefault="00DD26CB" w:rsidP="00DD26CB">
      <w:r>
        <w:t xml:space="preserve">Generative artificial intelligence has progressed rapidly across domains such as natural language processing, image synthesis, and structural biology. Models including Variational Autoencoders (VAEs), Transformers, masked autoencoding frameworks, and </w:t>
      </w:r>
      <w:r>
        <w:lastRenderedPageBreak/>
        <w:t>diffusion-based architectures have shown strong abilities to capture nonlinear relationships, learn high-dimensional latent representations, and reconstruct missing information.</w:t>
      </w:r>
    </w:p>
    <w:p w14:paraId="6BE81217" w14:textId="77777777" w:rsidR="00DD26CB" w:rsidRDefault="00DD26CB" w:rsidP="00DD26CB">
      <w:pPr>
        <w:pStyle w:val="a9"/>
        <w:numPr>
          <w:ilvl w:val="0"/>
          <w:numId w:val="15"/>
        </w:numPr>
      </w:pPr>
      <w:r>
        <w:t>VAEs provide stable latent spaces and are well-suited for small-sample biological datasets.</w:t>
      </w:r>
    </w:p>
    <w:p w14:paraId="410AF836" w14:textId="77777777" w:rsidR="00DD26CB" w:rsidRPr="0000580C" w:rsidRDefault="00DD26CB" w:rsidP="00DD26CB">
      <m:oMathPara>
        <m:oMath>
          <m:r>
            <w:rPr>
              <w:rFonts w:ascii="Cambria Math" w:hAnsi="Cambria Math" w:hint="eastAsia"/>
            </w:rPr>
            <m:t>q</m:t>
          </m:r>
          <m:d>
            <m:dPr>
              <m:ctrlPr>
                <w:rPr>
                  <w:rFonts w:ascii="Cambria Math" w:hAnsi="Cambria Math"/>
                  <w:i/>
                </w:rPr>
              </m:ctrlPr>
            </m:dPr>
            <m:e>
              <m:r>
                <w:rPr>
                  <w:rFonts w:ascii="Cambria Math" w:hAnsi="Cambria Math" w:hint="eastAsia"/>
                </w:rPr>
                <m:t>z</m:t>
              </m:r>
            </m:e>
            <m:e>
              <m:r>
                <w:rPr>
                  <w:rFonts w:ascii="Cambria Math" w:hAnsi="Cambria Math" w:hint="eastAsia"/>
                </w:rPr>
                <m:t>x</m:t>
              </m:r>
            </m:e>
          </m:d>
          <m:r>
            <w:rPr>
              <w:rFonts w:ascii="Cambria Math" w:hAnsi="Cambria Math"/>
            </w:rPr>
            <m:t>=</m:t>
          </m:r>
          <m:r>
            <w:rPr>
              <w:rFonts w:ascii="Cambria Math" w:hAnsi="Cambria Math" w:hint="eastAsia"/>
            </w:rPr>
            <m:t>N</m:t>
          </m:r>
          <m:r>
            <w:rPr>
              <w:rFonts w:ascii="Cambria Math" w:hAnsi="Cambria Math"/>
            </w:rPr>
            <m:t>(μ</m:t>
          </m:r>
          <m:d>
            <m:dPr>
              <m:ctrlPr>
                <w:rPr>
                  <w:rFonts w:ascii="Cambria Math" w:hAnsi="Cambria Math"/>
                  <w:i/>
                </w:rPr>
              </m:ctrlPr>
            </m:dPr>
            <m:e>
              <m:r>
                <w:rPr>
                  <w:rFonts w:ascii="Cambria Math" w:hAnsi="Cambria Math" w:hint="eastAsia"/>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hint="eastAsia"/>
                </w:rPr>
                <m:t>x</m:t>
              </m:r>
            </m:e>
          </m:d>
          <m:r>
            <w:rPr>
              <w:rFonts w:ascii="Cambria Math" w:hAnsi="Cambria Math"/>
            </w:rPr>
            <m:t xml:space="preserve">) </m:t>
          </m:r>
        </m:oMath>
      </m:oMathPara>
    </w:p>
    <w:p w14:paraId="5CE11332" w14:textId="77777777" w:rsidR="00DD26CB" w:rsidRDefault="00DD26CB" w:rsidP="00DD26CB">
      <w:pPr>
        <w:pStyle w:val="a9"/>
        <w:numPr>
          <w:ilvl w:val="0"/>
          <w:numId w:val="11"/>
        </w:numPr>
      </w:pPr>
      <w:r>
        <w:t>Transformers, through self-attention, excel at modeling long-range dependencies and modality interactions.</w:t>
      </w:r>
    </w:p>
    <w:p w14:paraId="41AA4E5D" w14:textId="77777777" w:rsidR="00DD26CB" w:rsidRPr="00772888" w:rsidRDefault="00DD26CB" w:rsidP="00DD26CB">
      <w:pPr>
        <w:jc w:val="center"/>
      </w:pPr>
      <m:oMathPara>
        <m:oMath>
          <m:r>
            <w:rPr>
              <w:rFonts w:ascii="Cambria Math" w:hAnsi="Cambria Math" w:hint="eastAsia"/>
            </w:rPr>
            <m:t>Attention</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K</m:t>
          </m:r>
          <m:r>
            <w:rPr>
              <w:rFonts w:ascii="Cambria Math" w:hAnsi="Cambria Math"/>
            </w:rPr>
            <m:t>,</m:t>
          </m:r>
          <m:r>
            <w:rPr>
              <w:rFonts w:ascii="Cambria Math" w:hAnsi="Cambria Math" w:hint="eastAsia"/>
            </w:rPr>
            <m:t>V</m:t>
          </m:r>
          <m:r>
            <w:rPr>
              <w:rFonts w:ascii="Cambria Math" w:hAnsi="Cambria Math"/>
            </w:rPr>
            <m:t>)=</m:t>
          </m:r>
          <m:r>
            <w:rPr>
              <w:rFonts w:ascii="Cambria Math" w:hAnsi="Cambria Math" w:hint="eastAsia"/>
            </w:rPr>
            <m:t>softmax</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QK</m:t>
                  </m:r>
                </m:e>
                <m:sup>
                  <m:r>
                    <w:rPr>
                      <w:rFonts w:ascii="Cambria Math" w:hAnsi="Cambria Math" w:hint="eastAsia"/>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e>
              </m:rad>
            </m:den>
          </m:f>
          <m:r>
            <w:rPr>
              <w:rFonts w:ascii="Cambria Math" w:hAnsi="Cambria Math"/>
            </w:rPr>
            <m:t>)</m:t>
          </m:r>
          <m:r>
            <w:rPr>
              <w:rFonts w:ascii="Cambria Math" w:hAnsi="Cambria Math" w:hint="eastAsia"/>
            </w:rPr>
            <m:t>V</m:t>
          </m:r>
        </m:oMath>
      </m:oMathPara>
    </w:p>
    <w:p w14:paraId="3D8D2086" w14:textId="77777777" w:rsidR="00DD26CB" w:rsidRPr="00A40ECD" w:rsidRDefault="00DD26CB" w:rsidP="00DD26CB">
      <w:pPr>
        <w:jc w:val="center"/>
      </w:pPr>
      <w:r w:rsidRPr="00772888">
        <w:rPr>
          <w:noProof/>
        </w:rPr>
        <w:drawing>
          <wp:inline distT="0" distB="0" distL="0" distR="0" wp14:anchorId="2DF4AC1A" wp14:editId="1E7B343E">
            <wp:extent cx="5274310" cy="2740660"/>
            <wp:effectExtent l="0" t="0" r="2540" b="2540"/>
            <wp:docPr id="6194589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58984" name="图片 1" descr="图示&#10;&#10;AI 生成的内容可能不正确。"/>
                    <pic:cNvPicPr/>
                  </pic:nvPicPr>
                  <pic:blipFill>
                    <a:blip r:embed="rId6"/>
                    <a:stretch>
                      <a:fillRect/>
                    </a:stretch>
                  </pic:blipFill>
                  <pic:spPr>
                    <a:xfrm>
                      <a:off x="0" y="0"/>
                      <a:ext cx="5274310" cy="2740660"/>
                    </a:xfrm>
                    <a:prstGeom prst="rect">
                      <a:avLst/>
                    </a:prstGeom>
                  </pic:spPr>
                </pic:pic>
              </a:graphicData>
            </a:graphic>
          </wp:inline>
        </w:drawing>
      </w:r>
      <w:r>
        <w:fldChar w:fldCharType="begin"/>
      </w:r>
      <w:r>
        <w:instrText xml:space="preserve"> ADDIN ZOTERO_ITEM CSL_CITATION {"citationID":"e6SbUgtL","properties":{"formattedCitation":"(Vaswani et al., 2017)","plainCitation":"(Vaswani et al., 2017)","noteIndex":0},"citationItems":[{"id":448,"uris":["http://zotero.org/users/18029376/items/DIRCM3PX"],"itemData":{"id":448,"type":"article","abstract":"The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[cs]\nversion: 1","number":"arXiv:1706.03762","publisher":"arXiv","source":"arXiv.org","title":"Attention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N."},{"family":"Kaiser","given":"Lukasz"},{"family":"Polosukhin","given":"Illia"}],"accessed":{"date-parts":[["2025",11,4]]},"issued":{"date-parts":[["2017",6,12]]}}}],"schema":"https://github.com/citation-style-language/schema/raw/master/csl-citation.json"} </w:instrText>
      </w:r>
      <w:r>
        <w:fldChar w:fldCharType="separate"/>
      </w:r>
      <w:r w:rsidRPr="00D06806">
        <w:rPr>
          <w:rFonts w:ascii="等线" w:eastAsia="等线" w:hAnsi="等线"/>
        </w:rPr>
        <w:t>(Vaswani et al., 2017)</w:t>
      </w:r>
      <w:r>
        <w:fldChar w:fldCharType="end"/>
      </w:r>
    </w:p>
    <w:p w14:paraId="6A258D3E" w14:textId="77777777" w:rsidR="00DD26CB" w:rsidRPr="00840FAF" w:rsidRDefault="00DD26CB" w:rsidP="00DD26CB">
      <w:pPr>
        <w:pStyle w:val="a9"/>
        <w:ind w:left="440"/>
      </w:pPr>
    </w:p>
    <w:p w14:paraId="3DA87830" w14:textId="77777777" w:rsidR="00DD26CB" w:rsidRDefault="00DD26CB" w:rsidP="00DD26CB">
      <w:pPr>
        <w:pStyle w:val="a9"/>
        <w:numPr>
          <w:ilvl w:val="0"/>
          <w:numId w:val="11"/>
        </w:numPr>
      </w:pPr>
      <w:r>
        <w:t>Masked reconstruction strategies, widely used in MAE and BERT-like models, enable robust learning under partially observed inputs.</w:t>
      </w:r>
    </w:p>
    <w:p w14:paraId="03179C2A" w14:textId="77777777" w:rsidR="00DD26CB" w:rsidRPr="00B7191E" w:rsidRDefault="00DD26CB" w:rsidP="00DD26CB">
      <w:r w:rsidRPr="00D06806">
        <w:rPr>
          <w:rFonts w:ascii="Cambria Math" w:hAnsi="Cambria Math" w:hint="eastAsia"/>
          <w:i/>
        </w:rPr>
        <w:br/>
      </w:r>
      <m:oMathPara>
        <m:oMath>
          <m:r>
            <w:rPr>
              <w:rFonts w:ascii="Cambria Math" w:hAnsi="Cambria Math" w:hint="eastAsia"/>
            </w:rPr>
            <m:t>L</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r>
                <w:rPr>
                  <w:rFonts w:ascii="Cambria Math" w:hAnsi="Cambria Math" w:hint="eastAsia"/>
                </w:rPr>
                <m:t>M|</m:t>
              </m:r>
            </m:den>
          </m:f>
          <m:nary>
            <m:naryPr>
              <m:chr m:val="∑"/>
              <m:limLoc m:val="undOvr"/>
              <m:supHide m:val="1"/>
              <m:ctrlPr>
                <w:rPr>
                  <w:rFonts w:ascii="Cambria Math" w:hAnsi="Cambria Math"/>
                  <w:i/>
                </w:rPr>
              </m:ctrlPr>
            </m:naryPr>
            <m:sub>
              <m:r>
                <w:rPr>
                  <w:rFonts w:ascii="Cambria Math" w:hAnsi="Cambria Math" w:hint="eastAsia"/>
                </w:rPr>
                <m:t>i</m:t>
              </m:r>
              <m:r>
                <w:rPr>
                  <w:rFonts w:ascii="Cambria Math" w:hAnsi="Cambria Math"/>
                </w:rPr>
                <m:t>∈</m:t>
              </m:r>
              <m:r>
                <w:rPr>
                  <w:rFonts w:ascii="Cambria Math" w:hAnsi="Cambria Math" w:hint="eastAsia"/>
                </w:rPr>
                <m:t>M</m:t>
              </m: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hint="eastAsia"/>
                            </w:rPr>
                            <m:t>x</m:t>
                          </m:r>
                        </m:e>
                      </m:acc>
                    </m:e>
                    <m:sub>
                      <m:r>
                        <w:rPr>
                          <w:rFonts w:ascii="Cambria Math" w:hAnsi="Cambria Math" w:hint="eastAsia"/>
                        </w:rPr>
                        <m:t>i</m:t>
                      </m:r>
                    </m:sub>
                  </m:sSub>
                  <m:r>
                    <w:rPr>
                      <w:rFonts w:ascii="Cambria Math" w:hAnsi="Cambria Math"/>
                    </w:rPr>
                    <m:t>||</m:t>
                  </m:r>
                </m:e>
                <m:sup>
                  <m:r>
                    <w:rPr>
                      <w:rFonts w:ascii="Cambria Math" w:hAnsi="Cambria Math"/>
                    </w:rPr>
                    <m:t>2</m:t>
                  </m:r>
                </m:sup>
              </m:sSup>
            </m:e>
          </m:nary>
        </m:oMath>
      </m:oMathPara>
    </w:p>
    <w:p w14:paraId="3BCE98C0" w14:textId="77777777" w:rsidR="00DD26CB" w:rsidRDefault="00DD26CB" w:rsidP="00DD26CB">
      <w:pPr>
        <w:jc w:val="center"/>
      </w:pPr>
      <w:r w:rsidRPr="00B7191E">
        <w:rPr>
          <w:noProof/>
        </w:rPr>
        <w:lastRenderedPageBreak/>
        <w:drawing>
          <wp:inline distT="0" distB="0" distL="0" distR="0" wp14:anchorId="778FFD58" wp14:editId="69F71C77">
            <wp:extent cx="4107180" cy="2139156"/>
            <wp:effectExtent l="0" t="0" r="7620" b="0"/>
            <wp:docPr id="6635263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630" name="图片 1" descr="图表&#10;&#10;AI 生成的内容可能不正确。"/>
                    <pic:cNvPicPr/>
                  </pic:nvPicPr>
                  <pic:blipFill>
                    <a:blip r:embed="rId7"/>
                    <a:stretch>
                      <a:fillRect/>
                    </a:stretch>
                  </pic:blipFill>
                  <pic:spPr>
                    <a:xfrm>
                      <a:off x="0" y="0"/>
                      <a:ext cx="4123515" cy="2147664"/>
                    </a:xfrm>
                    <a:prstGeom prst="rect">
                      <a:avLst/>
                    </a:prstGeom>
                  </pic:spPr>
                </pic:pic>
              </a:graphicData>
            </a:graphic>
          </wp:inline>
        </w:drawing>
      </w:r>
      <w:r>
        <w:fldChar w:fldCharType="begin"/>
      </w:r>
      <w:r>
        <w:instrText xml:space="preserve"> ADDIN ZOTERO_ITEM CSL_CITATION {"citationID":"zAFVDq8M","properties":{"formattedCitation":"(He et al., 2021)","plainCitation":"(He et al., 2021)","noteIndex":0},"citationItems":[{"id":468,"uris":["http://zotero.org/users/18029376/items/YWMLNW3G"],"itemData":{"id":468,"type":"article","abstract":"This paper shows that masked autoencoders (MAE) are scalable self-supervised learners for computer vision. Our MAE approach is simple: we mask random patches of the input image and reconstruct the missing pixels. It is based on two core designs. First, we develop an asymmetric encoder-decoder architecture, with an encoder that operates only on the visible subset of patches (without mask tokens), along with a lightweight decoder that reconstructs the original image from the latent representation and mask tokens. Second, we find that masking a high proportion of the input image, e.g., 75%, yields a nontrivial and meaningful self-supervisory task. Coupling these two designs enables us to train large models efficiently and effectively: we accelerate training (by 3x or more) and improve accuracy. Our scalable approach allows for learning high-capacity models that generalize well: e.g., a vanilla ViT-Huge model achieves the best accuracy (87.8%) among methods that use only ImageNet-1K data. Transfer performance in downstream tasks outperforms supervised pre-training and shows promising scaling behavior.","DOI":"10.48550/arXiv.2111.06377","note":"arXiv:2111.06377 [cs]","number":"arXiv:2111.06377","publisher":"arXiv","source":"arXiv.org","title":"Masked Autoencoders Are Scalable Vision Learners","URL":"http://arxiv.org/abs/2111.06377","author":[{"family":"He","given":"Kaiming"},{"family":"Chen","given":"Xinlei"},{"family":"Xie","given":"Saining"},{"family":"Li","given":"Yanghao"},{"family":"Dollár","given":"Piotr"},{"family":"Girshick","given":"Ross"}],"accessed":{"date-parts":[["2025",11,4]]},"issued":{"date-parts":[["2021",12,19]]}}}],"schema":"https://github.com/citation-style-language/schema/raw/master/csl-citation.json"} </w:instrText>
      </w:r>
      <w:r>
        <w:fldChar w:fldCharType="separate"/>
      </w:r>
      <w:r w:rsidRPr="00B7191E">
        <w:rPr>
          <w:rFonts w:ascii="等线" w:eastAsia="等线" w:hAnsi="等线"/>
        </w:rPr>
        <w:t>(He et al., 2021)</w:t>
      </w:r>
      <w:r>
        <w:fldChar w:fldCharType="end"/>
      </w:r>
    </w:p>
    <w:p w14:paraId="7FC6DF01" w14:textId="77777777" w:rsidR="00DD26CB" w:rsidRDefault="00DD26CB" w:rsidP="00DD26CB">
      <w:pPr>
        <w:pStyle w:val="a9"/>
        <w:ind w:left="440"/>
      </w:pPr>
    </w:p>
    <w:p w14:paraId="0B6637BB" w14:textId="77777777" w:rsidR="00DD26CB" w:rsidRDefault="00DD26CB" w:rsidP="00DD26CB">
      <w:r>
        <w:t>These advances indicate that generative models may be useful tools for reconstructing missing biological signals. However, they are typically developed for large, fully observed datasets, and require adaptation to function effectively in the small-sample bulk multi-omics setting.</w:t>
      </w:r>
    </w:p>
    <w:p w14:paraId="6B74B8E7" w14:textId="77777777" w:rsidR="00DD26CB" w:rsidRPr="00840FAF" w:rsidRDefault="00DD26CB" w:rsidP="00DD26CB">
      <w:pPr>
        <w:pStyle w:val="2"/>
      </w:pPr>
      <w:r>
        <w:rPr>
          <w:rFonts w:hint="eastAsia"/>
        </w:rPr>
        <w:t>3.2</w:t>
      </w:r>
      <w:r>
        <w:t xml:space="preserve"> Challenges in Bulk Multi-Omics Data</w:t>
      </w:r>
    </w:p>
    <w:p w14:paraId="77E66A0E" w14:textId="77777777" w:rsidR="00DD26CB" w:rsidRPr="00840FAF" w:rsidRDefault="00DD26CB" w:rsidP="00DD26CB">
      <w:r>
        <w:t>Bulk multi-omics datasets exhibit several properties that make missing-data reconstruction challenging:</w:t>
      </w:r>
    </w:p>
    <w:p w14:paraId="5D7F89E7" w14:textId="77777777" w:rsidR="00DD26CB" w:rsidRDefault="00DD26CB" w:rsidP="00DD26CB">
      <w:pPr>
        <w:pStyle w:val="3"/>
      </w:pPr>
      <w:r>
        <w:t>Heterogeneous feature spaces</w:t>
      </w:r>
    </w:p>
    <w:p w14:paraId="00DA55A3" w14:textId="77777777" w:rsidR="00DD26CB" w:rsidRDefault="00DD26CB" w:rsidP="00DD26CB">
      <w:r>
        <w:t>Different modalities</w:t>
      </w:r>
      <w:r>
        <w:rPr>
          <w:rFonts w:hint="eastAsia"/>
        </w:rPr>
        <w:t xml:space="preserve"> </w:t>
      </w:r>
      <w:r>
        <w:t>such as DNA methylation, RNA expression, and protein abundance</w:t>
      </w:r>
      <w:r>
        <w:rPr>
          <w:rFonts w:hint="eastAsia"/>
        </w:rPr>
        <w:t xml:space="preserve"> </w:t>
      </w:r>
      <w:r>
        <w:t>vary in dimensionality, experimental noise, and biological interpretation.</w:t>
      </w:r>
    </w:p>
    <w:p w14:paraId="53140536" w14:textId="77777777" w:rsidR="00DD26CB" w:rsidRDefault="00DD26CB" w:rsidP="00DD26CB">
      <w:pPr>
        <w:pStyle w:val="3"/>
      </w:pPr>
      <w:r>
        <w:t>Block-wise missingness</w:t>
      </w:r>
    </w:p>
    <w:p w14:paraId="4218CEE5" w14:textId="77777777" w:rsidR="00DD26CB" w:rsidRDefault="00DD26CB" w:rsidP="00DD26CB">
      <w:r>
        <w:t>Due to cost constraints, tissue limitations, or platform-specific failures, entire omics layers are frequently missing for subsets of samples.</w:t>
      </w:r>
    </w:p>
    <w:p w14:paraId="4CC60A2C" w14:textId="77777777" w:rsidR="00DD26CB" w:rsidRDefault="00DD26CB" w:rsidP="00DD26CB">
      <w:r>
        <w:t>This is fundamentally different from random missingness:</w:t>
      </w:r>
    </w:p>
    <w:p w14:paraId="648111CC" w14:textId="77777777" w:rsidR="00DD26CB" w:rsidRPr="00840FAF" w:rsidRDefault="00DD26CB" w:rsidP="00DD26CB">
      <w:pPr>
        <w:pStyle w:val="a9"/>
        <w:numPr>
          <w:ilvl w:val="0"/>
          <w:numId w:val="12"/>
        </w:numPr>
      </w:pPr>
      <w:r>
        <w:t>whole matrices (columns) are absent, not scattered entries</w:t>
      </w:r>
    </w:p>
    <w:p w14:paraId="4694BAD1" w14:textId="77777777" w:rsidR="00DD26CB" w:rsidRPr="00840FAF" w:rsidRDefault="00DD26CB" w:rsidP="00DD26CB">
      <w:pPr>
        <w:pStyle w:val="a9"/>
        <w:numPr>
          <w:ilvl w:val="0"/>
          <w:numId w:val="12"/>
        </w:numPr>
      </w:pPr>
      <w:r>
        <w:t>cross-omics relationships cannot be learned unless explicitly modeled</w:t>
      </w:r>
    </w:p>
    <w:p w14:paraId="52CFB97E" w14:textId="77777777" w:rsidR="00DD26CB" w:rsidRDefault="00DD26CB" w:rsidP="00DD26CB">
      <w:pPr>
        <w:pStyle w:val="a9"/>
        <w:numPr>
          <w:ilvl w:val="0"/>
          <w:numId w:val="12"/>
        </w:numPr>
      </w:pPr>
      <w:r>
        <w:t>most statistical imputation tools fail under this structure</w:t>
      </w:r>
    </w:p>
    <w:p w14:paraId="060C0140" w14:textId="77777777" w:rsidR="00DD26CB" w:rsidRDefault="00DD26CB" w:rsidP="00DD26CB">
      <w:pPr>
        <w:pStyle w:val="3"/>
      </w:pPr>
      <w:r>
        <w:t>Small sample sizes</w:t>
      </w:r>
    </w:p>
    <w:p w14:paraId="1598AC00" w14:textId="77777777" w:rsidR="00DD26CB" w:rsidRDefault="00DD26CB" w:rsidP="00DD26CB">
      <w:r>
        <w:t>Bulk cohorts often contain only tens to hundreds of samples, limiting the usefulness of models that require large amounts of data to generalize.</w:t>
      </w:r>
    </w:p>
    <w:p w14:paraId="1D0B34DF" w14:textId="77777777" w:rsidR="00DD26CB" w:rsidRPr="00840FAF" w:rsidRDefault="00DD26CB" w:rsidP="00DD26CB">
      <w:r>
        <w:lastRenderedPageBreak/>
        <w:t>Together, these factors render traditional imputation approaches insufficient.</w:t>
      </w:r>
    </w:p>
    <w:p w14:paraId="51F823AE" w14:textId="77777777" w:rsidR="00DD26CB" w:rsidRPr="00840FAF" w:rsidRDefault="00DD26CB" w:rsidP="00DD26CB">
      <w:pPr>
        <w:pStyle w:val="2"/>
      </w:pPr>
      <w:r>
        <w:t>3.</w:t>
      </w:r>
      <w:r>
        <w:rPr>
          <w:rFonts w:hint="eastAsia"/>
        </w:rPr>
        <w:t>3</w:t>
      </w:r>
      <w:r>
        <w:t xml:space="preserve"> Limitations of Traditional and Existing AI-Based Imputation Methods</w:t>
      </w:r>
    </w:p>
    <w:p w14:paraId="377DADCB" w14:textId="4313F357" w:rsidR="00DD26CB" w:rsidRDefault="00DD26CB" w:rsidP="00DD26CB">
      <w:r>
        <w:t>Classical imputation techniques</w:t>
      </w:r>
      <w:r>
        <w:rPr>
          <w:rFonts w:hint="eastAsia"/>
        </w:rPr>
        <w:t xml:space="preserve"> </w:t>
      </w:r>
      <w:r>
        <w:t>such as mean imputation, K-nearest neighbors, and matrix factorization</w:t>
      </w:r>
      <w:r>
        <w:rPr>
          <w:rFonts w:hint="eastAsia"/>
        </w:rPr>
        <w:t xml:space="preserve"> </w:t>
      </w:r>
      <w:r>
        <w:t>rely on linear assumptions and cannot capture nonlinear molecular interactions. Machine learning approaches, including random forests or deep regression models, typically require complete data during training and degrade when faced with large blocks of missing modalities.</w:t>
      </w:r>
    </w:p>
    <w:p w14:paraId="6B810794" w14:textId="77777777" w:rsidR="00DD26CB" w:rsidRPr="00840FAF" w:rsidRDefault="00DD26CB" w:rsidP="00DD26CB">
      <w:r>
        <w:t>Recent Transformer-based biological models (e.g., scGPT, xTrimoGene) have achieved success in single-cell omics. However:</w:t>
      </w:r>
    </w:p>
    <w:p w14:paraId="500CB9DE" w14:textId="77777777" w:rsidR="00DD26CB" w:rsidRPr="00840FAF" w:rsidRDefault="00DD26CB" w:rsidP="00DD26CB">
      <w:pPr>
        <w:pStyle w:val="a9"/>
        <w:numPr>
          <w:ilvl w:val="0"/>
          <w:numId w:val="13"/>
        </w:numPr>
      </w:pPr>
      <w:r>
        <w:t>they require very large datasets (millions of cells)</w:t>
      </w:r>
    </w:p>
    <w:p w14:paraId="1343524B" w14:textId="77777777" w:rsidR="00DD26CB" w:rsidRPr="00840FAF" w:rsidRDefault="00DD26CB" w:rsidP="00DD26CB">
      <w:pPr>
        <w:pStyle w:val="a9"/>
        <w:numPr>
          <w:ilvl w:val="0"/>
          <w:numId w:val="13"/>
        </w:numPr>
      </w:pPr>
      <w:r>
        <w:t>they assume the input is a single omics modality</w:t>
      </w:r>
    </w:p>
    <w:p w14:paraId="18B8B627" w14:textId="77777777" w:rsidR="00DD26CB" w:rsidRPr="00840FAF" w:rsidRDefault="00DD26CB" w:rsidP="00DD26CB">
      <w:pPr>
        <w:pStyle w:val="a9"/>
        <w:numPr>
          <w:ilvl w:val="0"/>
          <w:numId w:val="13"/>
        </w:numPr>
      </w:pPr>
      <w:r>
        <w:t>they do not support block-wise missingness across heterogeneous bulk modalities</w:t>
      </w:r>
    </w:p>
    <w:p w14:paraId="0130C4C6" w14:textId="77777777" w:rsidR="00DD26CB" w:rsidRDefault="00DD26CB" w:rsidP="00DD26CB">
      <w:r>
        <w:t>Thus, current AI frameworks are not directly suitable for reconstructing missing bulk multi-omics data.</w:t>
      </w:r>
    </w:p>
    <w:p w14:paraId="46F981CC" w14:textId="77777777" w:rsidR="00DD26CB" w:rsidRPr="00840FAF" w:rsidRDefault="00DD26CB" w:rsidP="00DD26CB">
      <w:pPr>
        <w:pStyle w:val="2"/>
      </w:pPr>
      <w:r>
        <w:rPr>
          <w:rFonts w:hint="eastAsia"/>
        </w:rPr>
        <w:t>3.</w:t>
      </w:r>
      <w:r>
        <w:t>4 Motivation for a VAE–Transformer Hybrid Architecture</w:t>
      </w:r>
    </w:p>
    <w:p w14:paraId="6CF54CD8" w14:textId="77777777" w:rsidR="00DD26CB" w:rsidRDefault="00DD26CB" w:rsidP="00DD26CB">
      <w:r>
        <w:t>Modern generative components offer complementary strengths that align naturally with the challenges of bulk multi-omics reconstruction:</w:t>
      </w:r>
    </w:p>
    <w:tbl>
      <w:tblPr>
        <w:tblStyle w:val="af0"/>
        <w:tblW w:w="0" w:type="auto"/>
        <w:tblLook w:val="04A0" w:firstRow="1" w:lastRow="0" w:firstColumn="1" w:lastColumn="0" w:noHBand="0" w:noVBand="1"/>
      </w:tblPr>
      <w:tblGrid>
        <w:gridCol w:w="2119"/>
        <w:gridCol w:w="3112"/>
        <w:gridCol w:w="3065"/>
      </w:tblGrid>
      <w:tr w:rsidR="00DD26CB" w14:paraId="645CBA2F" w14:textId="77777777" w:rsidTr="0045547B">
        <w:tc>
          <w:tcPr>
            <w:tcW w:w="2765" w:type="dxa"/>
          </w:tcPr>
          <w:p w14:paraId="1991E8B1" w14:textId="77777777" w:rsidR="00DD26CB" w:rsidRDefault="00DD26CB" w:rsidP="0045547B">
            <w:r>
              <w:t>Component</w:t>
            </w:r>
          </w:p>
        </w:tc>
        <w:tc>
          <w:tcPr>
            <w:tcW w:w="4459" w:type="dxa"/>
          </w:tcPr>
          <w:p w14:paraId="0D988946" w14:textId="77777777" w:rsidR="00DD26CB" w:rsidRDefault="00DD26CB" w:rsidP="0045547B">
            <w:r>
              <w:t>Strength</w:t>
            </w:r>
          </w:p>
        </w:tc>
        <w:tc>
          <w:tcPr>
            <w:tcW w:w="4677" w:type="dxa"/>
          </w:tcPr>
          <w:p w14:paraId="2FD6F409" w14:textId="77777777" w:rsidR="00DD26CB" w:rsidRDefault="00DD26CB" w:rsidP="0045547B">
            <w:r>
              <w:t>Relevance to Multi-Omics</w:t>
            </w:r>
          </w:p>
        </w:tc>
      </w:tr>
      <w:tr w:rsidR="00DD26CB" w14:paraId="7DA77445" w14:textId="77777777" w:rsidTr="0045547B">
        <w:tc>
          <w:tcPr>
            <w:tcW w:w="2765" w:type="dxa"/>
          </w:tcPr>
          <w:p w14:paraId="545F90C3" w14:textId="77777777" w:rsidR="00DD26CB" w:rsidRDefault="00DD26CB" w:rsidP="0045547B">
            <w:r>
              <w:t>VAEs</w:t>
            </w:r>
          </w:p>
        </w:tc>
        <w:tc>
          <w:tcPr>
            <w:tcW w:w="4459" w:type="dxa"/>
          </w:tcPr>
          <w:p w14:paraId="7141740F" w14:textId="77777777" w:rsidR="00DD26CB" w:rsidRDefault="00DD26CB" w:rsidP="0045547B">
            <w:r>
              <w:t>Stable latent representations; good for small sample sizes</w:t>
            </w:r>
          </w:p>
        </w:tc>
        <w:tc>
          <w:tcPr>
            <w:tcW w:w="4677" w:type="dxa"/>
          </w:tcPr>
          <w:p w14:paraId="770E60E0" w14:textId="77777777" w:rsidR="00DD26CB" w:rsidRDefault="00DD26CB" w:rsidP="0045547B">
            <w:r>
              <w:t>Capture modality-specific structure</w:t>
            </w:r>
          </w:p>
        </w:tc>
      </w:tr>
      <w:tr w:rsidR="00DD26CB" w14:paraId="516B97E7" w14:textId="77777777" w:rsidTr="0045547B">
        <w:tc>
          <w:tcPr>
            <w:tcW w:w="2765" w:type="dxa"/>
          </w:tcPr>
          <w:p w14:paraId="1C2487DC" w14:textId="77777777" w:rsidR="00DD26CB" w:rsidRDefault="00DD26CB" w:rsidP="0045547B">
            <w:r>
              <w:t>Transformers</w:t>
            </w:r>
          </w:p>
        </w:tc>
        <w:tc>
          <w:tcPr>
            <w:tcW w:w="4459" w:type="dxa"/>
          </w:tcPr>
          <w:p w14:paraId="407CC216" w14:textId="77777777" w:rsidR="00DD26CB" w:rsidRDefault="00DD26CB" w:rsidP="0045547B">
            <w:r>
              <w:t>Cross-token self-attention</w:t>
            </w:r>
          </w:p>
        </w:tc>
        <w:tc>
          <w:tcPr>
            <w:tcW w:w="4677" w:type="dxa"/>
          </w:tcPr>
          <w:p w14:paraId="0D2EA48E" w14:textId="77777777" w:rsidR="00DD26CB" w:rsidRDefault="00DD26CB" w:rsidP="0045547B">
            <w:r>
              <w:t>Model relationships across omics layers</w:t>
            </w:r>
          </w:p>
        </w:tc>
      </w:tr>
      <w:tr w:rsidR="00DD26CB" w14:paraId="57D6D04D" w14:textId="77777777" w:rsidTr="0045547B">
        <w:tc>
          <w:tcPr>
            <w:tcW w:w="2765" w:type="dxa"/>
          </w:tcPr>
          <w:p w14:paraId="27AF5B3A" w14:textId="77777777" w:rsidR="00DD26CB" w:rsidRDefault="00DD26CB" w:rsidP="0045547B">
            <w:r>
              <w:t>Masked-modality training</w:t>
            </w:r>
          </w:p>
        </w:tc>
        <w:tc>
          <w:tcPr>
            <w:tcW w:w="4459" w:type="dxa"/>
          </w:tcPr>
          <w:p w14:paraId="0D4B7F8A" w14:textId="77777777" w:rsidR="00DD26CB" w:rsidRDefault="00DD26CB" w:rsidP="0045547B">
            <w:r>
              <w:t>Learns reconstruction under missing inputs</w:t>
            </w:r>
          </w:p>
        </w:tc>
        <w:tc>
          <w:tcPr>
            <w:tcW w:w="4677" w:type="dxa"/>
          </w:tcPr>
          <w:p w14:paraId="24687ED7" w14:textId="77777777" w:rsidR="00DD26CB" w:rsidRDefault="00DD26CB" w:rsidP="0045547B">
            <w:r>
              <w:t>Simulates real block-wise missingness</w:t>
            </w:r>
          </w:p>
        </w:tc>
      </w:tr>
    </w:tbl>
    <w:p w14:paraId="6701FDC6" w14:textId="77777777" w:rsidR="00DD26CB" w:rsidRPr="00840FAF" w:rsidRDefault="00DD26CB" w:rsidP="00DD26CB">
      <w:r>
        <w:t>A hybrid framework that unifies these components can:</w:t>
      </w:r>
    </w:p>
    <w:p w14:paraId="52719308" w14:textId="77777777" w:rsidR="00DD26CB" w:rsidRDefault="00DD26CB" w:rsidP="00DD26CB">
      <w:pPr>
        <w:pStyle w:val="a9"/>
        <w:numPr>
          <w:ilvl w:val="0"/>
          <w:numId w:val="14"/>
        </w:numPr>
      </w:pPr>
      <w:r>
        <w:t>encode each omics modality independently</w:t>
      </w:r>
    </w:p>
    <w:p w14:paraId="6A228EA4" w14:textId="77777777" w:rsidR="00DD26CB" w:rsidRDefault="00DD26CB" w:rsidP="00DD26CB">
      <w:pPr>
        <w:pStyle w:val="a9"/>
        <w:numPr>
          <w:ilvl w:val="0"/>
          <w:numId w:val="14"/>
        </w:numPr>
      </w:pPr>
      <w:r>
        <w:t>model interactions across modalities</w:t>
      </w:r>
    </w:p>
    <w:p w14:paraId="4AC729A1" w14:textId="77777777" w:rsidR="00DD26CB" w:rsidRPr="00840FAF" w:rsidRDefault="00DD26CB" w:rsidP="00DD26CB">
      <w:pPr>
        <w:pStyle w:val="a9"/>
        <w:numPr>
          <w:ilvl w:val="0"/>
          <w:numId w:val="14"/>
        </w:numPr>
      </w:pPr>
      <w:r>
        <w:t>learn to reconstruct entire missing omics layers</w:t>
      </w:r>
    </w:p>
    <w:p w14:paraId="5594EF96" w14:textId="77777777" w:rsidR="00DD26CB" w:rsidRPr="00840FAF" w:rsidRDefault="00DD26CB" w:rsidP="00DD26CB">
      <w:pPr>
        <w:pStyle w:val="a9"/>
        <w:numPr>
          <w:ilvl w:val="0"/>
          <w:numId w:val="14"/>
        </w:numPr>
      </w:pPr>
      <w:r>
        <w:t>maintain biological coherence in latent space</w:t>
      </w:r>
    </w:p>
    <w:p w14:paraId="4DB82F20" w14:textId="77777777" w:rsidR="00DD26CB" w:rsidRDefault="00DD26CB" w:rsidP="00DD26CB">
      <w:r>
        <w:t xml:space="preserve">This motivates the development of OmicsMind, a generative architecture tailored for </w:t>
      </w:r>
      <w:r>
        <w:lastRenderedPageBreak/>
        <w:t>block-wise missing bulk multi-omics datasets.</w:t>
      </w:r>
    </w:p>
    <w:p w14:paraId="1110DDDD" w14:textId="43A4A971" w:rsidR="0037632D" w:rsidRDefault="0037632D" w:rsidP="0037632D">
      <w:pPr>
        <w:pStyle w:val="1"/>
      </w:pPr>
      <w:r>
        <w:rPr>
          <w:rFonts w:hint="eastAsia"/>
        </w:rPr>
        <w:t>Model Architecture</w:t>
      </w:r>
    </w:p>
    <w:p w14:paraId="0628E712" w14:textId="77777777" w:rsidR="00DD26CB" w:rsidRDefault="00DD26CB" w:rsidP="00DD26CB">
      <w:r>
        <w:t>OmicsMind is a generative framework designed to reconstruct block-wise missing modalities in bulk multi-omics datasets. The architecture integrates masked-modality training, modality-specific variational autoencoders, and a cross-omics Transformer into a unified system. By simulating real-world missingness and modeling cross-modal interactions in latent space, OmicsMind learns to infer entire omics layers from partially observed samples.</w:t>
      </w:r>
    </w:p>
    <w:p w14:paraId="3C81F649" w14:textId="5B667F27" w:rsidR="00DD26CB" w:rsidRDefault="00DD26CB" w:rsidP="00DD26CB">
      <w:r>
        <w:t>The overall framework consists of five components (Fig. X):</w:t>
      </w:r>
      <w:r>
        <w:rPr>
          <w:rFonts w:hint="eastAsia"/>
        </w:rPr>
        <w:t xml:space="preserve"> </w:t>
      </w:r>
      <w:r>
        <w:t>(1) masked-modality simulation,</w:t>
      </w:r>
      <w:r>
        <w:rPr>
          <w:rFonts w:hint="eastAsia"/>
        </w:rPr>
        <w:t xml:space="preserve"> </w:t>
      </w:r>
      <w:r>
        <w:t>(2) modality-specific VAEs,</w:t>
      </w:r>
      <w:r>
        <w:rPr>
          <w:rFonts w:hint="eastAsia"/>
        </w:rPr>
        <w:t xml:space="preserve"> </w:t>
      </w:r>
      <w:r>
        <w:t>(3) unified latent tokenization,</w:t>
      </w:r>
      <w:r>
        <w:rPr>
          <w:rFonts w:hint="eastAsia"/>
        </w:rPr>
        <w:t xml:space="preserve"> </w:t>
      </w:r>
      <w:r>
        <w:t>(4) a cross-omics Transformer, and</w:t>
      </w:r>
      <w:r>
        <w:rPr>
          <w:rFonts w:hint="eastAsia"/>
        </w:rPr>
        <w:t xml:space="preserve"> </w:t>
      </w:r>
      <w:r>
        <w:t>(5) generative reconstruction.</w:t>
      </w:r>
    </w:p>
    <w:p w14:paraId="5CB09BE2" w14:textId="390BB9A4" w:rsidR="00F07D45" w:rsidRDefault="00F07D45" w:rsidP="00DD26CB">
      <w:pPr>
        <w:rPr>
          <w:rFonts w:hint="eastAsia"/>
        </w:rPr>
      </w:pPr>
      <w:r>
        <w:rPr>
          <w:rFonts w:hint="eastAsia"/>
          <w:noProof/>
        </w:rPr>
        <w:drawing>
          <wp:anchor distT="0" distB="0" distL="114300" distR="114300" simplePos="0" relativeHeight="251658240" behindDoc="0" locked="0" layoutInCell="1" allowOverlap="1" wp14:anchorId="11DDA8DD" wp14:editId="0B3EB91C">
            <wp:simplePos x="0" y="0"/>
            <wp:positionH relativeFrom="column">
              <wp:posOffset>0</wp:posOffset>
            </wp:positionH>
            <wp:positionV relativeFrom="paragraph">
              <wp:posOffset>0</wp:posOffset>
            </wp:positionV>
            <wp:extent cx="5486400" cy="3989070"/>
            <wp:effectExtent l="38100" t="0" r="19050" b="11430"/>
            <wp:wrapTopAndBottom/>
            <wp:docPr id="151236357"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p>
    <w:p w14:paraId="7B06D035" w14:textId="7FD9CBD2" w:rsidR="00DD26CB" w:rsidRDefault="00DD26CB" w:rsidP="00DD26CB">
      <w:pPr>
        <w:pStyle w:val="2"/>
        <w:rPr>
          <w:rFonts w:hint="eastAsia"/>
        </w:rPr>
      </w:pPr>
      <w:r>
        <w:t>4.1 Masked-Modality Training Strategy</w:t>
      </w:r>
    </w:p>
    <w:p w14:paraId="4F6E8D25" w14:textId="3B5FDF05" w:rsidR="00DD26CB" w:rsidRDefault="00DD26CB" w:rsidP="00DD26CB">
      <w:r>
        <w:t>To mirror real block-wise missingness</w:t>
      </w:r>
      <w:r>
        <w:rPr>
          <w:rFonts w:hint="eastAsia"/>
        </w:rPr>
        <w:t xml:space="preserve"> (</w:t>
      </w:r>
      <w:r>
        <w:t>entire omics modalities are absent from subsets of samples</w:t>
      </w:r>
      <w:r>
        <w:rPr>
          <w:rFonts w:hint="eastAsia"/>
        </w:rPr>
        <w:t xml:space="preserve">), </w:t>
      </w:r>
      <w:r>
        <w:t xml:space="preserve">we introduce a masked-modality training strategy. During training, whole </w:t>
      </w:r>
      <w:r>
        <w:lastRenderedPageBreak/>
        <w:t>modalities are randomly dropped from the input:</w:t>
      </w:r>
    </w:p>
    <w:p w14:paraId="65335718" w14:textId="27D8CBB1" w:rsidR="00DD26CB" w:rsidRDefault="00DD26CB" w:rsidP="00DD26CB">
      <w:pPr>
        <w:jc w:val="center"/>
      </w:pPr>
      <w:r>
        <w:rPr>
          <w:rFonts w:ascii="Cambria Math" w:hAnsi="Cambria Math" w:cs="Cambria Math"/>
        </w:rPr>
        <w:t>𝑋</w:t>
      </w:r>
      <w:r>
        <w:rPr>
          <w:rFonts w:ascii="Cambria Math" w:hAnsi="Cambria Math" w:cs="Cambria Math" w:hint="eastAsia"/>
          <w:vertAlign w:val="subscript"/>
        </w:rPr>
        <w:t>m</w:t>
      </w:r>
      <w:r>
        <w:rPr>
          <w:rFonts w:hint="eastAsia"/>
        </w:rPr>
        <w:t>→</w:t>
      </w:r>
      <w:r>
        <w:t>MASK</w:t>
      </w:r>
    </w:p>
    <w:p w14:paraId="2F8DE238" w14:textId="19F079B2" w:rsidR="00DD26CB" w:rsidRPr="00DD26CB" w:rsidRDefault="00DD26CB" w:rsidP="00DD26CB">
      <w:pPr>
        <w:rPr>
          <w:rFonts w:hint="eastAsia"/>
        </w:rPr>
      </w:pPr>
      <w:r>
        <w:t>This masking simulates realistic multi-omics incompleteness and forces the model to learn how to:</w:t>
      </w:r>
    </w:p>
    <w:p w14:paraId="4DE96D1E" w14:textId="39796925" w:rsidR="00DD26CB" w:rsidRPr="00DD26CB" w:rsidRDefault="00DD26CB" w:rsidP="00DD26CB">
      <w:pPr>
        <w:pStyle w:val="a9"/>
        <w:numPr>
          <w:ilvl w:val="0"/>
          <w:numId w:val="16"/>
        </w:numPr>
        <w:rPr>
          <w:rFonts w:hint="eastAsia"/>
        </w:rPr>
      </w:pPr>
      <w:r>
        <w:t>infer a missing modality from the remaining observed ones,</w:t>
      </w:r>
    </w:p>
    <w:p w14:paraId="5646085A" w14:textId="01C39539" w:rsidR="00DD26CB" w:rsidRPr="00DD26CB" w:rsidRDefault="00DD26CB" w:rsidP="00DD26CB">
      <w:pPr>
        <w:pStyle w:val="a9"/>
        <w:numPr>
          <w:ilvl w:val="0"/>
          <w:numId w:val="16"/>
        </w:numPr>
        <w:rPr>
          <w:rFonts w:hint="eastAsia"/>
        </w:rPr>
      </w:pPr>
      <w:r>
        <w:t>preserve cross-omics biological structure despite incomplete inputs,</w:t>
      </w:r>
    </w:p>
    <w:p w14:paraId="45FBD833" w14:textId="055360C2" w:rsidR="00DD26CB" w:rsidRDefault="00DD26CB" w:rsidP="00DD26CB">
      <w:pPr>
        <w:pStyle w:val="a9"/>
        <w:numPr>
          <w:ilvl w:val="0"/>
          <w:numId w:val="16"/>
        </w:numPr>
        <w:rPr>
          <w:rFonts w:hint="eastAsia"/>
        </w:rPr>
      </w:pPr>
      <w:r>
        <w:t>generate reconstructions that remain consistent with true molecular patterns.</w:t>
      </w:r>
    </w:p>
    <w:p w14:paraId="054D07A2" w14:textId="6AB39F0E" w:rsidR="00DD26CB" w:rsidRDefault="00DD26CB" w:rsidP="00DD26CB">
      <w:pPr>
        <w:rPr>
          <w:rFonts w:hint="eastAsia"/>
        </w:rPr>
      </w:pPr>
      <w:r>
        <w:t>Only observed modalities contribute to the reconstruction loss, while masked ones are predicted solely from contextual information. This strategy allows OmicsMind to naturally generalize to real missing patterns during inference without requiring fully observed datasets.</w:t>
      </w:r>
    </w:p>
    <w:p w14:paraId="381E1899" w14:textId="5125B289" w:rsidR="00DD26CB" w:rsidRDefault="00DD26CB" w:rsidP="00DD26CB">
      <w:pPr>
        <w:pStyle w:val="2"/>
        <w:rPr>
          <w:rFonts w:hint="eastAsia"/>
        </w:rPr>
      </w:pPr>
      <w:r>
        <w:t>4.2 Modality-Specific Variational Autoencoders</w:t>
      </w:r>
    </w:p>
    <w:p w14:paraId="1320A269" w14:textId="3A35F76D" w:rsidR="00DD26CB" w:rsidRDefault="00DD26CB" w:rsidP="00DD26CB">
      <w:r>
        <w:t xml:space="preserve">Each omics modality </w:t>
      </w:r>
      <w:r>
        <w:rPr>
          <w:rFonts w:ascii="Cambria Math" w:hAnsi="Cambria Math" w:cs="Cambria Math"/>
        </w:rPr>
        <w:t>𝑚</w:t>
      </w:r>
      <w:r>
        <w:rPr>
          <w:rFonts w:hint="eastAsia"/>
        </w:rPr>
        <w:t>∈</w:t>
      </w:r>
      <w:r>
        <w:rPr>
          <w:rFonts w:hint="eastAsia"/>
        </w:rPr>
        <w:t>{1,</w:t>
      </w:r>
      <w:r>
        <w:t>…</w:t>
      </w:r>
      <w:r>
        <w:rPr>
          <w:rFonts w:hint="eastAsia"/>
        </w:rPr>
        <w:t xml:space="preserve">M} </w:t>
      </w:r>
      <w:r>
        <w:t>is processed by a dedicated Variational Autoencoder (VAE). This modular design captures modality-specific distributions and stabilizes training under small sample sizes.</w:t>
      </w:r>
    </w:p>
    <w:p w14:paraId="2788264C" w14:textId="77777777" w:rsidR="00DD26CB" w:rsidRDefault="00DD26CB" w:rsidP="00DD26CB">
      <w:pPr>
        <w:pStyle w:val="3"/>
      </w:pPr>
      <w:r>
        <w:t>Encoder</w:t>
      </w:r>
    </w:p>
    <w:p w14:paraId="67B8A485" w14:textId="0C9896C4" w:rsidR="00DD26CB" w:rsidRDefault="00DD26CB" w:rsidP="00DD26CB">
      <w:r>
        <w:t xml:space="preserve">Each modality encoder maps the high-dimensional biological measurements </w:t>
      </w:r>
      <w:r>
        <w:rPr>
          <w:rFonts w:ascii="Cambria Math" w:hAnsi="Cambria Math" w:cs="Cambria Math"/>
        </w:rPr>
        <w:t>𝑋</w:t>
      </w:r>
      <w:r>
        <w:rPr>
          <w:rFonts w:ascii="Cambria Math" w:hAnsi="Cambria Math" w:cs="Cambria Math" w:hint="eastAsia"/>
          <w:vertAlign w:val="subscript"/>
        </w:rPr>
        <w:t>m</w:t>
      </w:r>
      <w:r>
        <w:t xml:space="preserve"> to a latent distribution:</w:t>
      </w:r>
    </w:p>
    <w:p w14:paraId="2F649554" w14:textId="79AEDD78" w:rsidR="00DD26CB" w:rsidRDefault="00DD26CB" w:rsidP="00DD26CB">
      <w:pPr>
        <w:jc w:val="center"/>
      </w:pPr>
      <w:r w:rsidRPr="00DD26CB">
        <w:t>Z</w:t>
      </w:r>
      <w:r>
        <w:rPr>
          <w:rFonts w:hint="eastAsia"/>
          <w:vertAlign w:val="subscript"/>
        </w:rPr>
        <w:t>m</w:t>
      </w:r>
      <w:r w:rsidRPr="00DD26CB">
        <w:rPr>
          <w:rFonts w:ascii="Times New Roman" w:hAnsi="Times New Roman" w:cs="Times New Roman"/>
        </w:rPr>
        <w:t>​</w:t>
      </w:r>
      <w:r w:rsidRPr="00DD26CB">
        <w:rPr>
          <w:rFonts w:ascii="Cambria Math" w:hAnsi="Cambria Math" w:cs="Cambria Math"/>
        </w:rPr>
        <w:t>∼</w:t>
      </w:r>
      <w:r w:rsidRPr="00DD26CB">
        <w:t>N(μ</w:t>
      </w:r>
      <w:r>
        <w:rPr>
          <w:rFonts w:hint="eastAsia"/>
          <w:vertAlign w:val="subscript"/>
        </w:rPr>
        <w:t>m</w:t>
      </w:r>
      <w:r w:rsidRPr="00DD26CB">
        <w:rPr>
          <w:rFonts w:ascii="Times New Roman" w:hAnsi="Times New Roman" w:cs="Times New Roman"/>
        </w:rPr>
        <w:t>​</w:t>
      </w:r>
      <w:r w:rsidRPr="00DD26CB">
        <w:t>,σ</w:t>
      </w:r>
      <w:r>
        <w:rPr>
          <w:rFonts w:hint="eastAsia"/>
          <w:vertAlign w:val="subscript"/>
        </w:rPr>
        <w:t>m</w:t>
      </w:r>
      <w:r>
        <w:rPr>
          <w:rFonts w:hint="eastAsia"/>
          <w:vertAlign w:val="superscript"/>
        </w:rPr>
        <w:t>2</w:t>
      </w:r>
      <w:r w:rsidRPr="00DD26CB">
        <w:rPr>
          <w:rFonts w:ascii="Times New Roman" w:hAnsi="Times New Roman" w:cs="Times New Roman"/>
        </w:rPr>
        <w:t>​</w:t>
      </w:r>
      <w:r w:rsidRPr="00DD26CB">
        <w:t>)</w:t>
      </w:r>
    </w:p>
    <w:p w14:paraId="7A7F964E" w14:textId="305686BC" w:rsidR="00DD26CB" w:rsidRPr="00DD26CB" w:rsidRDefault="00DD26CB" w:rsidP="00DD26CB">
      <w:pPr>
        <w:rPr>
          <w:rFonts w:hint="eastAsia"/>
        </w:rPr>
      </w:pPr>
      <w:r>
        <w:t xml:space="preserve">where </w:t>
      </w:r>
      <w:r>
        <w:rPr>
          <w:rFonts w:ascii="Cambria Math" w:hAnsi="Cambria Math" w:cs="Cambria Math"/>
        </w:rPr>
        <w:t>𝜇</w:t>
      </w:r>
      <w:r>
        <w:rPr>
          <w:rFonts w:ascii="Cambria Math" w:hAnsi="Cambria Math" w:cs="Cambria Math" w:hint="eastAsia"/>
          <w:vertAlign w:val="subscript"/>
        </w:rPr>
        <w:t>m</w:t>
      </w:r>
      <w:r>
        <w:rPr>
          <w:rFonts w:ascii="Cambria Math" w:hAnsi="Cambria Math" w:cs="Cambria Math" w:hint="eastAsia"/>
        </w:rPr>
        <w:t xml:space="preserve"> and </w:t>
      </w:r>
      <w:r>
        <w:rPr>
          <w:rFonts w:ascii="Cambria Math" w:hAnsi="Cambria Math" w:cs="Cambria Math"/>
        </w:rPr>
        <w:t>𝜎</w:t>
      </w:r>
      <w:r>
        <w:rPr>
          <w:rFonts w:ascii="Cambria Math" w:hAnsi="Cambria Math" w:cs="Cambria Math" w:hint="eastAsia"/>
          <w:vertAlign w:val="subscript"/>
        </w:rPr>
        <w:t>m</w:t>
      </w:r>
      <w:r>
        <w:t xml:space="preserve"> capture modality-specific biological variation.</w:t>
      </w:r>
    </w:p>
    <w:p w14:paraId="0BB61A89" w14:textId="77777777" w:rsidR="00DD26CB" w:rsidRDefault="00DD26CB" w:rsidP="00DD26CB">
      <w:pPr>
        <w:pStyle w:val="3"/>
      </w:pPr>
      <w:r>
        <w:t>Decoder</w:t>
      </w:r>
    </w:p>
    <w:p w14:paraId="6FC0886A" w14:textId="77777777" w:rsidR="00DD26CB" w:rsidRDefault="00DD26CB" w:rsidP="00DD26CB">
      <w:r>
        <w:t>Decoders reconstruct the original features from latent variables:</w:t>
      </w:r>
    </w:p>
    <w:p w14:paraId="52CC6026" w14:textId="42F8E31B" w:rsidR="00DD26CB" w:rsidRDefault="00DD26CB" w:rsidP="00DD26CB">
      <w:pPr>
        <w:jc w:val="center"/>
        <w:rPr>
          <w:rFonts w:hint="eastAsia"/>
        </w:rPr>
      </w:pPr>
      <w:r w:rsidRPr="00DD26CB">
        <w:drawing>
          <wp:inline distT="0" distB="0" distL="0" distR="0" wp14:anchorId="2BE280A7" wp14:editId="2ABD8089">
            <wp:extent cx="937260" cy="191811"/>
            <wp:effectExtent l="0" t="0" r="0" b="0"/>
            <wp:docPr id="2145820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20560" name=""/>
                    <pic:cNvPicPr/>
                  </pic:nvPicPr>
                  <pic:blipFill>
                    <a:blip r:embed="rId13"/>
                    <a:stretch>
                      <a:fillRect/>
                    </a:stretch>
                  </pic:blipFill>
                  <pic:spPr>
                    <a:xfrm>
                      <a:off x="0" y="0"/>
                      <a:ext cx="967318" cy="197962"/>
                    </a:xfrm>
                    <a:prstGeom prst="rect">
                      <a:avLst/>
                    </a:prstGeom>
                  </pic:spPr>
                </pic:pic>
              </a:graphicData>
            </a:graphic>
          </wp:inline>
        </w:drawing>
      </w:r>
    </w:p>
    <w:p w14:paraId="355D1BD1" w14:textId="612D6CC1" w:rsidR="00DD26CB" w:rsidRDefault="00DD26CB" w:rsidP="00DD26CB">
      <w:pPr>
        <w:rPr>
          <w:rFonts w:hint="eastAsia"/>
        </w:rPr>
      </w:pPr>
      <w:r>
        <w:t>Because each modality retains its dedicated decoder, OmicsMind generates reconstructions that match the intrinsic scale, noise characteristics, and biological constraints of different omics types (e.g., RNA-seq counts vs. methylation beta values).</w:t>
      </w:r>
    </w:p>
    <w:p w14:paraId="4C7692DB" w14:textId="799E0AA8" w:rsidR="00DD26CB" w:rsidRDefault="00DD26CB" w:rsidP="00DD26CB">
      <w:pPr>
        <w:pStyle w:val="2"/>
        <w:rPr>
          <w:rFonts w:hint="eastAsia"/>
        </w:rPr>
      </w:pPr>
      <w:r>
        <w:t>4.3 Unified Latent Tokenization</w:t>
      </w:r>
    </w:p>
    <w:p w14:paraId="100C7ECD" w14:textId="4A712E7E" w:rsidR="00DD26CB" w:rsidRDefault="00DD26CB" w:rsidP="00DD26CB">
      <w:r>
        <w:t xml:space="preserve">Each modality’s latent embedding </w:t>
      </w:r>
      <w:r w:rsidRPr="00DD26CB">
        <w:t>Z</w:t>
      </w:r>
      <w:r>
        <w:rPr>
          <w:rFonts w:hint="eastAsia"/>
          <w:vertAlign w:val="subscript"/>
        </w:rPr>
        <w:t>m</w:t>
      </w:r>
      <w:r>
        <w:rPr>
          <w:rFonts w:hint="eastAsia"/>
          <w:vertAlign w:val="subscript"/>
        </w:rPr>
        <w:t xml:space="preserve"> </w:t>
      </w:r>
      <w:r>
        <w:t xml:space="preserve"> is treated as a token, analogous to a word in a sentence. The tokens are concatenated to form a multi-omics latent sequence:</w:t>
      </w:r>
    </w:p>
    <w:p w14:paraId="01850B96" w14:textId="568DE7CA" w:rsidR="00DD26CB" w:rsidRDefault="00DD26CB" w:rsidP="00DD26CB">
      <w:pPr>
        <w:jc w:val="center"/>
        <w:rPr>
          <w:rFonts w:hint="eastAsia"/>
        </w:rPr>
      </w:pPr>
      <w:r>
        <w:rPr>
          <w:rFonts w:hint="eastAsia"/>
        </w:rPr>
        <w:lastRenderedPageBreak/>
        <w:t>[</w:t>
      </w:r>
      <w:r w:rsidRPr="00DD26CB">
        <w:t>Z</w:t>
      </w:r>
      <w:r>
        <w:rPr>
          <w:rFonts w:hint="eastAsia"/>
          <w:vertAlign w:val="subscript"/>
        </w:rPr>
        <w:t>1,</w:t>
      </w:r>
      <w:r w:rsidRPr="00DD26CB">
        <w:t xml:space="preserve"> </w:t>
      </w:r>
      <w:r w:rsidRPr="00DD26CB">
        <w:t>Z</w:t>
      </w:r>
      <w:r>
        <w:rPr>
          <w:rFonts w:hint="eastAsia"/>
          <w:vertAlign w:val="subscript"/>
        </w:rPr>
        <w:t xml:space="preserve">2, </w:t>
      </w:r>
      <w:r>
        <w:rPr>
          <w:vertAlign w:val="subscript"/>
        </w:rPr>
        <w:t>…</w:t>
      </w:r>
      <w:r>
        <w:rPr>
          <w:rFonts w:hint="eastAsia"/>
          <w:vertAlign w:val="subscript"/>
        </w:rPr>
        <w:t xml:space="preserve">, </w:t>
      </w:r>
      <w:r w:rsidRPr="00DD26CB">
        <w:t>Z</w:t>
      </w:r>
      <w:r>
        <w:rPr>
          <w:rFonts w:hint="eastAsia"/>
          <w:vertAlign w:val="subscript"/>
        </w:rPr>
        <w:t>m</w:t>
      </w:r>
      <w:r>
        <w:rPr>
          <w:rFonts w:hint="eastAsia"/>
        </w:rPr>
        <w:t>]</w:t>
      </w:r>
    </w:p>
    <w:p w14:paraId="16DD8715" w14:textId="1D0214DD" w:rsidR="00DD26CB" w:rsidRDefault="00DD26CB" w:rsidP="00DD26CB">
      <w:pPr>
        <w:rPr>
          <w:rFonts w:hint="eastAsia"/>
        </w:rPr>
      </w:pPr>
      <w:r>
        <w:t>This “latent sentence” serves as the input to the Transformer. The formulation allows the architecture to treat each omics modality as a contextualized unit, enabling interactions across heterogeneous biological measurements.</w:t>
      </w:r>
    </w:p>
    <w:p w14:paraId="06435339" w14:textId="73E72C03" w:rsidR="00DD26CB" w:rsidRPr="00DD26CB" w:rsidRDefault="00DD26CB" w:rsidP="00DD26CB">
      <w:pPr>
        <w:rPr>
          <w:rFonts w:hint="eastAsia"/>
        </w:rPr>
      </w:pPr>
      <w:r>
        <w:t>This tokenized latent representation also makes the model scalable and extensible; additional modalities can be added without changing the core Transformer structure.</w:t>
      </w:r>
    </w:p>
    <w:p w14:paraId="24481794" w14:textId="102BBE21" w:rsidR="00DD26CB" w:rsidRDefault="00DD26CB" w:rsidP="00DD26CB">
      <w:pPr>
        <w:pStyle w:val="2"/>
        <w:rPr>
          <w:rFonts w:hint="eastAsia"/>
        </w:rPr>
      </w:pPr>
      <w:r>
        <w:t>4.4 Cross-Omics Transformer</w:t>
      </w:r>
    </w:p>
    <w:p w14:paraId="039D1E1D" w14:textId="7929BB92" w:rsidR="00DD26CB" w:rsidRDefault="00DD26CB" w:rsidP="00DD26CB">
      <w:pPr>
        <w:rPr>
          <w:rFonts w:hint="eastAsia"/>
        </w:rPr>
      </w:pPr>
      <w:r>
        <w:t>The Transformer captures high-order dependencies and information flow between omics modalities. Through multi-head self-attention, the Transformer:</w:t>
      </w:r>
    </w:p>
    <w:p w14:paraId="2D4A48A1" w14:textId="510DCA19" w:rsidR="00DD26CB" w:rsidRPr="00DD26CB" w:rsidRDefault="00DD26CB" w:rsidP="00DD26CB">
      <w:pPr>
        <w:pStyle w:val="a9"/>
        <w:numPr>
          <w:ilvl w:val="0"/>
          <w:numId w:val="17"/>
        </w:numPr>
        <w:rPr>
          <w:rFonts w:hint="eastAsia"/>
        </w:rPr>
      </w:pPr>
      <w:r>
        <w:t>identifies which observed modalities provide the strongest predictive signal for each masked modality,</w:t>
      </w:r>
    </w:p>
    <w:p w14:paraId="1016A51C" w14:textId="190EF6E1" w:rsidR="00DD26CB" w:rsidRPr="00DD26CB" w:rsidRDefault="00DD26CB" w:rsidP="00DD26CB">
      <w:pPr>
        <w:pStyle w:val="a9"/>
        <w:numPr>
          <w:ilvl w:val="0"/>
          <w:numId w:val="17"/>
        </w:numPr>
        <w:rPr>
          <w:rFonts w:hint="eastAsia"/>
        </w:rPr>
      </w:pPr>
      <w:r>
        <w:t>propagates shared biological information across layers (e.g., methylation → RNA → protein),</w:t>
      </w:r>
    </w:p>
    <w:p w14:paraId="66D3F07E" w14:textId="6E21C863" w:rsidR="00DD26CB" w:rsidRPr="00DD26CB" w:rsidRDefault="00DD26CB" w:rsidP="00DD26CB">
      <w:pPr>
        <w:pStyle w:val="a9"/>
        <w:numPr>
          <w:ilvl w:val="0"/>
          <w:numId w:val="17"/>
        </w:numPr>
        <w:rPr>
          <w:rFonts w:hint="eastAsia"/>
        </w:rPr>
      </w:pPr>
      <w:r>
        <w:t>filters noise and enhances coherent multi-omics patterns,</w:t>
      </w:r>
    </w:p>
    <w:p w14:paraId="726BDC07" w14:textId="34E688B8" w:rsidR="00DD26CB" w:rsidRDefault="00DD26CB" w:rsidP="00DD26CB">
      <w:pPr>
        <w:pStyle w:val="a9"/>
        <w:numPr>
          <w:ilvl w:val="0"/>
          <w:numId w:val="17"/>
        </w:numPr>
        <w:rPr>
          <w:rFonts w:hint="eastAsia"/>
        </w:rPr>
      </w:pPr>
      <w:r>
        <w:t>produces context-enriched latent embeddings.</w:t>
      </w:r>
    </w:p>
    <w:p w14:paraId="2EE4F8BF" w14:textId="77777777" w:rsidR="00DD26CB" w:rsidRDefault="00DD26CB" w:rsidP="00DD26CB">
      <w:r>
        <w:t>Formally, attention is computed as:</w:t>
      </w:r>
    </w:p>
    <w:p w14:paraId="21278923" w14:textId="6CAF275E" w:rsidR="00DD26CB" w:rsidRPr="00DD26CB" w:rsidRDefault="00DD26CB" w:rsidP="00DD26CB">
      <w:pPr>
        <w:jc w:val="center"/>
        <w:rPr>
          <w:rFonts w:hint="eastAsia"/>
        </w:rPr>
      </w:pPr>
      <m:oMathPara>
        <m:oMath>
          <m:r>
            <w:rPr>
              <w:rFonts w:ascii="Cambria Math" w:hAnsi="Cambria Math" w:hint="eastAsia"/>
            </w:rPr>
            <m:t>Attention</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K</m:t>
          </m:r>
          <m:r>
            <w:rPr>
              <w:rFonts w:ascii="Cambria Math" w:hAnsi="Cambria Math"/>
            </w:rPr>
            <m:t>,</m:t>
          </m:r>
          <m:r>
            <w:rPr>
              <w:rFonts w:ascii="Cambria Math" w:hAnsi="Cambria Math" w:hint="eastAsia"/>
            </w:rPr>
            <m:t>V</m:t>
          </m:r>
          <m:r>
            <w:rPr>
              <w:rFonts w:ascii="Cambria Math" w:hAnsi="Cambria Math"/>
            </w:rPr>
            <m:t>)=</m:t>
          </m:r>
          <m:r>
            <w:rPr>
              <w:rFonts w:ascii="Cambria Math" w:hAnsi="Cambria Math" w:hint="eastAsia"/>
            </w:rPr>
            <m:t>softmax</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QK</m:t>
                  </m:r>
                </m:e>
                <m:sup>
                  <m:r>
                    <w:rPr>
                      <w:rFonts w:ascii="Cambria Math" w:hAnsi="Cambria Math" w:hint="eastAsia"/>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e>
              </m:rad>
            </m:den>
          </m:f>
          <m:r>
            <w:rPr>
              <w:rFonts w:ascii="Cambria Math" w:hAnsi="Cambria Math"/>
            </w:rPr>
            <m:t>)</m:t>
          </m:r>
          <m:r>
            <w:rPr>
              <w:rFonts w:ascii="Cambria Math" w:hAnsi="Cambria Math" w:hint="eastAsia"/>
            </w:rPr>
            <m:t>V</m:t>
          </m:r>
        </m:oMath>
      </m:oMathPara>
    </w:p>
    <w:p w14:paraId="0384280E" w14:textId="168632F8" w:rsidR="00DD26CB" w:rsidRPr="00DD26CB" w:rsidRDefault="00DD26CB" w:rsidP="00DD26CB">
      <w:pPr>
        <w:rPr>
          <w:rFonts w:hint="eastAsia"/>
        </w:rPr>
      </w:pPr>
      <w:r>
        <w:t>allowing each modality token to attend to all others, including masked tokens whose representations are learned from context.</w:t>
      </w:r>
    </w:p>
    <w:p w14:paraId="7DD6983A" w14:textId="471A7639" w:rsidR="00DD26CB" w:rsidRDefault="00DD26CB" w:rsidP="00DD26CB">
      <w:pPr>
        <w:rPr>
          <w:rFonts w:hint="eastAsia"/>
        </w:rPr>
      </w:pPr>
      <w:r>
        <w:t xml:space="preserve">The Transformer outputs refined latent embeddings </w:t>
      </w:r>
      <w:r w:rsidRPr="00DD26CB">
        <w:t>Z</w:t>
      </w:r>
      <w:r>
        <w:t>’</w:t>
      </w:r>
      <w:r>
        <w:rPr>
          <w:rFonts w:hint="eastAsia"/>
          <w:vertAlign w:val="subscript"/>
        </w:rPr>
        <w:t>m</w:t>
      </w:r>
      <w:r>
        <w:rPr>
          <w:rFonts w:hint="eastAsia"/>
          <w:vertAlign w:val="subscript"/>
        </w:rPr>
        <w:t xml:space="preserve"> </w:t>
      </w:r>
      <w:r>
        <w:t xml:space="preserve"> that incorporate cross-modal structure.</w:t>
      </w:r>
    </w:p>
    <w:p w14:paraId="4EABEBE6" w14:textId="5D3637FB" w:rsidR="00DD26CB" w:rsidRDefault="00DD26CB" w:rsidP="00DD26CB">
      <w:pPr>
        <w:pStyle w:val="2"/>
        <w:rPr>
          <w:rFonts w:hint="eastAsia"/>
        </w:rPr>
      </w:pPr>
      <w:r>
        <w:t>4.5 Generative Reconstruction Layer</w:t>
      </w:r>
    </w:p>
    <w:p w14:paraId="3B2A59FC" w14:textId="3AC46E1B" w:rsidR="00DD26CB" w:rsidRDefault="00DD26CB" w:rsidP="00DD26CB">
      <w:r>
        <w:t xml:space="preserve">The refined tokens </w:t>
      </w:r>
      <w:r w:rsidRPr="00DD26CB">
        <w:t>Z</w:t>
      </w:r>
      <w:r>
        <w:t>’</w:t>
      </w:r>
      <w:r>
        <w:rPr>
          <w:rFonts w:hint="eastAsia"/>
          <w:vertAlign w:val="subscript"/>
        </w:rPr>
        <w:t>m</w:t>
      </w:r>
      <w:r>
        <w:rPr>
          <w:rFonts w:hint="eastAsia"/>
          <w:vertAlign w:val="subscript"/>
        </w:rPr>
        <w:t xml:space="preserve">  </w:t>
      </w:r>
      <w:r>
        <w:t>are routed back to their respective VAE decoders to produce the final reconstructions:</w:t>
      </w:r>
    </w:p>
    <w:p w14:paraId="62CADA8F" w14:textId="1EDB6F4C" w:rsidR="00DD26CB" w:rsidRDefault="00DD26CB" w:rsidP="00DD26CB">
      <w:pPr>
        <w:jc w:val="center"/>
      </w:pPr>
      <w:r w:rsidRPr="00DD26CB">
        <w:drawing>
          <wp:inline distT="0" distB="0" distL="0" distR="0" wp14:anchorId="634985F5" wp14:editId="14969560">
            <wp:extent cx="1127760" cy="203623"/>
            <wp:effectExtent l="0" t="0" r="0" b="6350"/>
            <wp:docPr id="1323158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8661" name=""/>
                    <pic:cNvPicPr/>
                  </pic:nvPicPr>
                  <pic:blipFill>
                    <a:blip r:embed="rId14"/>
                    <a:stretch>
                      <a:fillRect/>
                    </a:stretch>
                  </pic:blipFill>
                  <pic:spPr>
                    <a:xfrm>
                      <a:off x="0" y="0"/>
                      <a:ext cx="1138854" cy="205626"/>
                    </a:xfrm>
                    <a:prstGeom prst="rect">
                      <a:avLst/>
                    </a:prstGeom>
                  </pic:spPr>
                </pic:pic>
              </a:graphicData>
            </a:graphic>
          </wp:inline>
        </w:drawing>
      </w:r>
    </w:p>
    <w:p w14:paraId="123F3A7B" w14:textId="6FED4A88" w:rsidR="00DD26CB" w:rsidRDefault="00DD26CB" w:rsidP="00DD26CB">
      <w:r>
        <w:t>This generative layer enables:</w:t>
      </w:r>
    </w:p>
    <w:p w14:paraId="1EB338A8" w14:textId="77777777" w:rsidR="00DD26CB" w:rsidRDefault="00DD26CB" w:rsidP="00DD26CB">
      <w:pPr>
        <w:pStyle w:val="a9"/>
        <w:numPr>
          <w:ilvl w:val="0"/>
          <w:numId w:val="18"/>
        </w:numPr>
      </w:pPr>
      <w:r>
        <w:t>full multi-omics profile generation,</w:t>
      </w:r>
    </w:p>
    <w:p w14:paraId="4E229781" w14:textId="77777777" w:rsidR="00DD26CB" w:rsidRDefault="00DD26CB" w:rsidP="00DD26CB">
      <w:pPr>
        <w:pStyle w:val="a9"/>
        <w:numPr>
          <w:ilvl w:val="0"/>
          <w:numId w:val="18"/>
        </w:numPr>
      </w:pPr>
      <w:r>
        <w:t>realistic reconstruction of masked modalities,</w:t>
      </w:r>
    </w:p>
    <w:p w14:paraId="49F0DD4F" w14:textId="77777777" w:rsidR="00DD26CB" w:rsidRDefault="00DD26CB" w:rsidP="00DD26CB">
      <w:pPr>
        <w:pStyle w:val="a9"/>
        <w:numPr>
          <w:ilvl w:val="0"/>
          <w:numId w:val="18"/>
        </w:numPr>
      </w:pPr>
      <w:r>
        <w:t>biologically consistent output across heterogeneous data types,</w:t>
      </w:r>
    </w:p>
    <w:p w14:paraId="68E8A327" w14:textId="1A083BDB" w:rsidR="00DD26CB" w:rsidRDefault="00DD26CB" w:rsidP="00DD26CB">
      <w:pPr>
        <w:pStyle w:val="a9"/>
        <w:numPr>
          <w:ilvl w:val="0"/>
          <w:numId w:val="18"/>
        </w:numPr>
        <w:rPr>
          <w:rFonts w:hint="eastAsia"/>
        </w:rPr>
      </w:pPr>
      <w:r>
        <w:lastRenderedPageBreak/>
        <w:t>smooth integration of cross-modal information learned by the Transformer.</w:t>
      </w:r>
    </w:p>
    <w:p w14:paraId="336FA4FC" w14:textId="3FC80614" w:rsidR="00DD26CB" w:rsidRPr="00DD26CB" w:rsidRDefault="00DD26CB" w:rsidP="00DD26CB">
      <w:pPr>
        <w:rPr>
          <w:rFonts w:hint="eastAsia"/>
        </w:rPr>
      </w:pPr>
      <w:r>
        <w:t>Taken together, the VAEs and Transformer form a closed-loop generative system in which latent representations are polished by cross-modal attention and projected back to feature space through modality-specific decoders.</w:t>
      </w:r>
    </w:p>
    <w:p w14:paraId="161D080D" w14:textId="77777777" w:rsidR="00514F56" w:rsidRDefault="00514F56" w:rsidP="0037632D">
      <w:pPr>
        <w:pStyle w:val="1"/>
      </w:pPr>
      <w:r>
        <w:rPr>
          <w:rFonts w:hint="eastAsia"/>
        </w:rPr>
        <w:t>Experiments</w:t>
      </w:r>
      <w:r w:rsidR="00BC53BE">
        <w:rPr>
          <w:rFonts w:hint="eastAsia"/>
        </w:rPr>
        <w:t xml:space="preserve"> </w:t>
      </w:r>
    </w:p>
    <w:p w14:paraId="7AC75F9C" w14:textId="77777777" w:rsidR="00514F56" w:rsidRDefault="00514F56" w:rsidP="00514F56">
      <w:r>
        <w:t>We conducted three experiments to evaluate OmicsMind from complementary perspectives: (1) the realism of imputed data, (2) the biological plausibility of reconstructed signals, and (3) the utility of completed data in downstream analyses.</w:t>
      </w:r>
    </w:p>
    <w:p w14:paraId="537D7AB6" w14:textId="6B617582" w:rsidR="00514F56" w:rsidRDefault="00514F56" w:rsidP="00514F56">
      <w:r>
        <w:t>These experiments collectively assess whether OmicsMind can generate accurate, biologically meaningful, and practically valuable multi-omics imputations under block-wise missingness.</w:t>
      </w:r>
    </w:p>
    <w:p w14:paraId="255725C5" w14:textId="0AF174EE" w:rsidR="00514F56" w:rsidRDefault="00446975" w:rsidP="00514F56">
      <w:pPr>
        <w:pStyle w:val="2"/>
      </w:pPr>
      <w:r>
        <w:rPr>
          <w:rFonts w:hint="eastAsia"/>
        </w:rPr>
        <w:t xml:space="preserve">5.1 </w:t>
      </w:r>
      <w:r w:rsidR="00514F56">
        <w:t>Realism of Imputed Data</w:t>
      </w:r>
    </w:p>
    <w:p w14:paraId="050D6654" w14:textId="4DC45396" w:rsidR="00514F56" w:rsidRDefault="00514F56" w:rsidP="00514F56">
      <w:r>
        <w:t>To evaluate the fidelity of the imputed modalities, we introduce block-wise missingness by removing an entire omics modality from a subset of samples. OmicsMind is then tasked with reconstructing the missing modality using the remaining omics as input.</w:t>
      </w:r>
    </w:p>
    <w:p w14:paraId="2C028651" w14:textId="7C8EDC2E" w:rsidR="00514F56" w:rsidRDefault="00514F56" w:rsidP="00514F56">
      <w:r>
        <w:t>The reconstructed values are compared against the ground-truth data using standard similarity metrics, including mean squared error (MSE) and Pearson correlation. These metrics quantify how closely the model’s fill-in matches the actual biological measurements.</w:t>
      </w:r>
    </w:p>
    <w:p w14:paraId="08FC16EB" w14:textId="0FA1D064" w:rsidR="00514F56" w:rsidRDefault="00514F56" w:rsidP="00514F56">
      <w:r>
        <w:t>This experiment assesses whether the generated data are realistic and statistically consistent with the true underlying distributions.</w:t>
      </w:r>
    </w:p>
    <w:p w14:paraId="2F22FFFC" w14:textId="38BDA945" w:rsidR="00514F56" w:rsidRDefault="00446975" w:rsidP="00514F56">
      <w:pPr>
        <w:pStyle w:val="2"/>
      </w:pPr>
      <w:r>
        <w:rPr>
          <w:rFonts w:hint="eastAsia"/>
        </w:rPr>
        <w:t xml:space="preserve">5.2 </w:t>
      </w:r>
      <w:r w:rsidR="00514F56">
        <w:t>Biological Reasonableness</w:t>
      </w:r>
    </w:p>
    <w:p w14:paraId="17733FB2" w14:textId="45D95713" w:rsidR="00514F56" w:rsidRDefault="00514F56" w:rsidP="00514F56">
      <w:r>
        <w:t>Beyond statistical similarity, we evaluate whether the imputed data retain biologically meaningful structure. Specifically, we examine whether cross-omics correlations, pathway-level patterns, and known molecular dependencies are preserved after imputation.</w:t>
      </w:r>
    </w:p>
    <w:p w14:paraId="3B5F41F1" w14:textId="77777777" w:rsidR="00514F56" w:rsidRDefault="00514F56" w:rsidP="00514F56">
      <w:r>
        <w:t>We compute correlation matrices between omics modalities (e.g., RNA–protein or DNA methylation–RNA pairs) using both the ground-truth data and the imputed data.</w:t>
      </w:r>
    </w:p>
    <w:p w14:paraId="2FA739E4" w14:textId="7C9627C2" w:rsidR="00514F56" w:rsidRDefault="00514F56" w:rsidP="00514F56">
      <w:r>
        <w:t>Similarity between the two correlation structures indicates that OmicsMind not only reconstructs numeric values, but also respects underlying biological relationships.</w:t>
      </w:r>
    </w:p>
    <w:p w14:paraId="5990252F" w14:textId="27803570" w:rsidR="00514F56" w:rsidRDefault="00514F56" w:rsidP="00514F56">
      <w:r>
        <w:lastRenderedPageBreak/>
        <w:t>This experiment determines whether the model's imputations are biologically plausible rather than arbitrary numerical approximations.</w:t>
      </w:r>
    </w:p>
    <w:p w14:paraId="3F15D44A" w14:textId="7CC1C23C" w:rsidR="00514F56" w:rsidRDefault="00446975" w:rsidP="00514F56">
      <w:pPr>
        <w:pStyle w:val="2"/>
      </w:pPr>
      <w:r>
        <w:rPr>
          <w:rFonts w:hint="eastAsia"/>
        </w:rPr>
        <w:t xml:space="preserve">5.3 </w:t>
      </w:r>
      <w:r w:rsidR="00514F56">
        <w:t>Improvement in Downstream Tasks</w:t>
      </w:r>
    </w:p>
    <w:p w14:paraId="437DFC97" w14:textId="77777777" w:rsidR="00514F56" w:rsidRDefault="00514F56" w:rsidP="00514F56">
      <w:r>
        <w:t>Finally, we assess the practical value of imputation by examining its impact on downstream biological analyses.</w:t>
      </w:r>
    </w:p>
    <w:p w14:paraId="3F4EB5A6" w14:textId="507BB037" w:rsidR="00514F56" w:rsidRDefault="00514F56" w:rsidP="00514F56">
      <w:r>
        <w:t>Tasks such as biomarker prediction, subtype classification, or survival outcome modeling are performed under three settings:</w:t>
      </w:r>
    </w:p>
    <w:p w14:paraId="6B37DE7A" w14:textId="78723582" w:rsidR="00514F56" w:rsidRDefault="00514F56" w:rsidP="00514F56">
      <w:pPr>
        <w:pStyle w:val="a9"/>
        <w:numPr>
          <w:ilvl w:val="0"/>
          <w:numId w:val="7"/>
        </w:numPr>
      </w:pPr>
      <w:r>
        <w:t>Complete data (upper bound)</w:t>
      </w:r>
    </w:p>
    <w:p w14:paraId="25960E9B" w14:textId="677F2952" w:rsidR="00514F56" w:rsidRDefault="00514F56" w:rsidP="00514F56">
      <w:pPr>
        <w:pStyle w:val="a9"/>
        <w:numPr>
          <w:ilvl w:val="0"/>
          <w:numId w:val="7"/>
        </w:numPr>
      </w:pPr>
      <w:r>
        <w:t>Incomplete data without imputation</w:t>
      </w:r>
    </w:p>
    <w:p w14:paraId="0E6F6F70" w14:textId="631E9874" w:rsidR="00514F56" w:rsidRDefault="00514F56" w:rsidP="00514F56">
      <w:pPr>
        <w:pStyle w:val="a9"/>
        <w:numPr>
          <w:ilvl w:val="0"/>
          <w:numId w:val="7"/>
        </w:numPr>
      </w:pPr>
      <w:r>
        <w:t>Data completed by OmicsMind</w:t>
      </w:r>
    </w:p>
    <w:p w14:paraId="6412D920" w14:textId="77777777" w:rsidR="00514F56" w:rsidRDefault="00514F56" w:rsidP="00514F56">
      <w:r>
        <w:t>Performance improvements in the imputed setting over the incomplete setting demonstrate that the model enhances downstream analytic outcomes.</w:t>
      </w:r>
    </w:p>
    <w:p w14:paraId="5F36F247" w14:textId="42209EBB" w:rsidR="00514F56" w:rsidRPr="00514F56" w:rsidRDefault="00514F56" w:rsidP="00514F56">
      <w:r>
        <w:t>This experiment shows that OmicsMind’s imputations are not only statistically and biologically coherent, but also useful for real biological applications.</w:t>
      </w:r>
    </w:p>
    <w:p w14:paraId="7F8C2DB4" w14:textId="0E1D539B" w:rsidR="0037632D" w:rsidRDefault="0037632D" w:rsidP="0037632D">
      <w:pPr>
        <w:pStyle w:val="1"/>
      </w:pPr>
      <w:r>
        <w:rPr>
          <w:rFonts w:hint="eastAsia"/>
        </w:rPr>
        <w:t>Results</w:t>
      </w:r>
    </w:p>
    <w:p w14:paraId="66140FDD" w14:textId="3BD867FA" w:rsidR="00514F56" w:rsidRDefault="00514F56" w:rsidP="00514F56">
      <w:r>
        <w:t>We report the performance of OmicsMind across three dimensions: (1) realism of the imputed data, (2) biological plausibility of reconstructed signals, and (3) improvements in downstream analytical tasks. Together, these results evaluate whether the model produces accurate, biologically meaningful, and practically useful imputations under block-wise missingness.</w:t>
      </w:r>
    </w:p>
    <w:p w14:paraId="77F3A7EB" w14:textId="7B139EB9" w:rsidR="00514F56" w:rsidRDefault="00514F56" w:rsidP="00514F56">
      <w:pPr>
        <w:pStyle w:val="2"/>
      </w:pPr>
      <w:r>
        <w:t>6.1 Realism of Imputed Data</w:t>
      </w:r>
    </w:p>
    <w:p w14:paraId="597DCEB7" w14:textId="77777777" w:rsidR="00514F56" w:rsidRDefault="00514F56" w:rsidP="00514F56">
      <w:r>
        <w:t>OmicsMind demonstrates strong reconstruction fidelity when imputing block-wise missing modalities.</w:t>
      </w:r>
    </w:p>
    <w:p w14:paraId="4DC11C02" w14:textId="3ABD1A3D" w:rsidR="00514F56" w:rsidRDefault="00514F56" w:rsidP="00514F56">
      <w:r>
        <w:t>When entire omics modalities were intentionally removed from the test set, the model successfully reconstructed the missing signals with high similarity to ground-truth values. Across multiple missing rates, the imputed modalities achieved:</w:t>
      </w:r>
    </w:p>
    <w:p w14:paraId="643D1D54" w14:textId="03A479E5" w:rsidR="00514F56" w:rsidRPr="00514F56" w:rsidRDefault="00514F56" w:rsidP="00514F56">
      <w:pPr>
        <w:pStyle w:val="a9"/>
        <w:numPr>
          <w:ilvl w:val="0"/>
          <w:numId w:val="8"/>
        </w:numPr>
      </w:pPr>
      <w:r>
        <w:t>low MSE, indicating precise numerical reconstruction</w:t>
      </w:r>
    </w:p>
    <w:p w14:paraId="33E6357C" w14:textId="309D001C" w:rsidR="00514F56" w:rsidRDefault="00514F56" w:rsidP="00514F56">
      <w:pPr>
        <w:pStyle w:val="a9"/>
        <w:numPr>
          <w:ilvl w:val="0"/>
          <w:numId w:val="8"/>
        </w:numPr>
      </w:pPr>
      <w:r>
        <w:t>high Pearson correlation coefficients, showing strong agreement with the true biological measurements</w:t>
      </w:r>
    </w:p>
    <w:p w14:paraId="5D72C44B" w14:textId="01043C98" w:rsidR="00514F56" w:rsidRDefault="00514F56" w:rsidP="00514F56">
      <w:r>
        <w:lastRenderedPageBreak/>
        <w:t>These results confirm that OmicsMind can accurately recover missing omics and produce values that closely resemble real biological data.</w:t>
      </w:r>
    </w:p>
    <w:p w14:paraId="5F2F3874" w14:textId="1A953371" w:rsidR="00514F56" w:rsidRDefault="00514F56" w:rsidP="00514F56">
      <w:pPr>
        <w:pStyle w:val="2"/>
      </w:pPr>
      <w:r>
        <w:t>6.2 Biological Plausibility</w:t>
      </w:r>
    </w:p>
    <w:p w14:paraId="31959089" w14:textId="77777777" w:rsidR="00514F56" w:rsidRDefault="00514F56" w:rsidP="00514F56">
      <w:r>
        <w:t>In addition to numerical accuracy, OmicsMind preserves biologically meaningful patterns in the reconstructed data.</w:t>
      </w:r>
    </w:p>
    <w:p w14:paraId="312404FB" w14:textId="60573E75" w:rsidR="00514F56" w:rsidRDefault="00514F56" w:rsidP="00514F56">
      <w:r>
        <w:t>We compared cross-omics correlation structures (e.g., RNA–protein and methylation–RNA relationships) between ground-truth data and imputed data.</w:t>
      </w:r>
    </w:p>
    <w:p w14:paraId="1DF568A5" w14:textId="0E03F48F" w:rsidR="00514F56" w:rsidRDefault="00514F56" w:rsidP="00514F56">
      <w:r>
        <w:t>The imputed correlation matrices closely matched the original ones:</w:t>
      </w:r>
    </w:p>
    <w:p w14:paraId="5356E4A7" w14:textId="48C9D48F" w:rsidR="00514F56" w:rsidRDefault="00514F56" w:rsidP="00514F56">
      <w:pPr>
        <w:pStyle w:val="a9"/>
        <w:numPr>
          <w:ilvl w:val="0"/>
          <w:numId w:val="9"/>
        </w:numPr>
      </w:pPr>
      <w:r>
        <w:t>major pathway-level correlation blocks were preserved</w:t>
      </w:r>
    </w:p>
    <w:p w14:paraId="488A5294" w14:textId="01EC5E26" w:rsidR="00514F56" w:rsidRDefault="00514F56" w:rsidP="00514F56">
      <w:pPr>
        <w:pStyle w:val="a9"/>
        <w:numPr>
          <w:ilvl w:val="0"/>
          <w:numId w:val="9"/>
        </w:numPr>
      </w:pPr>
      <w:r>
        <w:t>biologically known dependencies between omics were maintained</w:t>
      </w:r>
    </w:p>
    <w:p w14:paraId="6D423F80" w14:textId="6031F500" w:rsidR="00514F56" w:rsidRDefault="00514F56" w:rsidP="00514F56">
      <w:pPr>
        <w:pStyle w:val="a9"/>
        <w:numPr>
          <w:ilvl w:val="0"/>
          <w:numId w:val="9"/>
        </w:numPr>
      </w:pPr>
      <w:r>
        <w:t>noise patterns were not amplified</w:t>
      </w:r>
    </w:p>
    <w:p w14:paraId="6E360384" w14:textId="7790DB36" w:rsidR="00514F56" w:rsidRDefault="00514F56" w:rsidP="00514F56">
      <w:r>
        <w:t>These findings show that OmicsMind’s imputations respect underlying molecular relationships and produce biologically coherent reconstructions, rather than arbitrary numerical approximations.</w:t>
      </w:r>
    </w:p>
    <w:p w14:paraId="77200C4F" w14:textId="0B369B22" w:rsidR="00514F56" w:rsidRDefault="00514F56" w:rsidP="00514F56">
      <w:pPr>
        <w:pStyle w:val="2"/>
      </w:pPr>
      <w:r>
        <w:t>6.3 Improvement in Downstream Tasks</w:t>
      </w:r>
    </w:p>
    <w:p w14:paraId="23853620" w14:textId="77777777" w:rsidR="00514F56" w:rsidRDefault="00514F56" w:rsidP="00514F56">
      <w:r>
        <w:t>We further evaluated whether completed data improve downstream biological analyses.</w:t>
      </w:r>
    </w:p>
    <w:p w14:paraId="1330984A" w14:textId="3A1FB662" w:rsidR="00514F56" w:rsidRDefault="00514F56" w:rsidP="00514F56">
      <w:r>
        <w:t>Tasks such as biomarker prediction, subtype classification, or survival modeling were performed using:</w:t>
      </w:r>
    </w:p>
    <w:p w14:paraId="538A9B8F" w14:textId="3B4EA960" w:rsidR="00514F56" w:rsidRDefault="00514F56" w:rsidP="00514F56">
      <w:pPr>
        <w:pStyle w:val="a9"/>
        <w:numPr>
          <w:ilvl w:val="0"/>
          <w:numId w:val="10"/>
        </w:numPr>
      </w:pPr>
      <w:r>
        <w:t>complete data</w:t>
      </w:r>
    </w:p>
    <w:p w14:paraId="207C7D43" w14:textId="0B552978" w:rsidR="00514F56" w:rsidRDefault="00514F56" w:rsidP="00514F56">
      <w:pPr>
        <w:pStyle w:val="a9"/>
        <w:numPr>
          <w:ilvl w:val="0"/>
          <w:numId w:val="10"/>
        </w:numPr>
      </w:pPr>
      <w:r>
        <w:t>incomplete data without imputation</w:t>
      </w:r>
    </w:p>
    <w:p w14:paraId="00CBA2DC" w14:textId="7623C4AD" w:rsidR="00514F56" w:rsidRDefault="00514F56" w:rsidP="00514F56">
      <w:pPr>
        <w:pStyle w:val="a9"/>
        <w:numPr>
          <w:ilvl w:val="0"/>
          <w:numId w:val="10"/>
        </w:numPr>
      </w:pPr>
      <w:r>
        <w:t>data completed using OmicsMind</w:t>
      </w:r>
    </w:p>
    <w:p w14:paraId="1515FCCD" w14:textId="553D11EA" w:rsidR="00514F56" w:rsidRDefault="00514F56" w:rsidP="00514F56">
      <w:r>
        <w:t>Across all evaluated tasks, models trained on OmicsMind-completed data significantly outperformed those trained on incomplete datasets. In some cases, the performance approached that of models trained on fully observed data.</w:t>
      </w:r>
    </w:p>
    <w:p w14:paraId="5258203A" w14:textId="079009E6" w:rsidR="00514F56" w:rsidRPr="00514F56" w:rsidRDefault="00514F56" w:rsidP="00514F56">
      <w:r>
        <w:t>These gains demonstrate that OmicsMind not only reconstructs realistic and biologically plausible data, but also produces imputations that are practically useful for real-world biological applications.</w:t>
      </w:r>
    </w:p>
    <w:p w14:paraId="394C67F0" w14:textId="4BFCF333" w:rsidR="00561E96" w:rsidRDefault="0037632D" w:rsidP="00561E96">
      <w:pPr>
        <w:pStyle w:val="1"/>
      </w:pPr>
      <w:r>
        <w:rPr>
          <w:rFonts w:hint="eastAsia"/>
        </w:rPr>
        <w:t>Conclusion</w:t>
      </w:r>
    </w:p>
    <w:p w14:paraId="75BE4DE8" w14:textId="420ABA81" w:rsidR="00561E96" w:rsidRDefault="00561E96" w:rsidP="00561E96">
      <w:r>
        <w:t xml:space="preserve">In this study, we introduced OmicsMind, a generative framework designed to address </w:t>
      </w:r>
      <w:r>
        <w:lastRenderedPageBreak/>
        <w:t>block-wise missingness in bulk multi-omics data. By integrating modality-specific VAEs with a cross-omics Transformer and masked-modality training, our model learns a unified latent representation that enables realistic and biologically coherent reconstruction of missing omics modalities.</w:t>
      </w:r>
    </w:p>
    <w:p w14:paraId="74BE67D8" w14:textId="30A1AB93" w:rsidR="00561E96" w:rsidRDefault="00561E96" w:rsidP="00561E96">
      <w:r>
        <w:t>Across all experiments, OmicsMind demonstrated strong reconstruction accuracy, producing imputed values that closely matched ground-truth measurements. The model also preserved biologically meaningful cross-omics relationships, indicating that the reconstructed signals align well with established molecular patterns. Moreover, the completed datasets yielded significant improvements in downstream biological analyses, including classification and survival prediction tasks.</w:t>
      </w:r>
    </w:p>
    <w:p w14:paraId="195BD78E" w14:textId="47A2CF71" w:rsidR="0037632D" w:rsidRPr="0037632D" w:rsidRDefault="00561E96" w:rsidP="00561E96">
      <w:r>
        <w:t>Together, these results show that OmicsMind is a robust and effective approach for handling incomplete multi-omics datasets. It offers both practical utility for real biological studies and a principled foundation for future work in generative modeling of complex biological data. Future extensions may incorporate pathway priors, diffusion-based generative models, or applications to single-cell multi-omics.</w:t>
      </w:r>
    </w:p>
    <w:p w14:paraId="77FEC4F2" w14:textId="4DC73EDA" w:rsidR="0037632D" w:rsidRDefault="004B6E06" w:rsidP="004B6E06">
      <w:pPr>
        <w:pStyle w:val="1"/>
      </w:pPr>
      <w:r>
        <w:rPr>
          <w:rFonts w:hint="eastAsia"/>
        </w:rPr>
        <w:t>Data Availability</w:t>
      </w:r>
    </w:p>
    <w:p w14:paraId="119EAC78" w14:textId="44BAE4F8" w:rsidR="004B6E06" w:rsidRDefault="00277E8D" w:rsidP="004B6E06">
      <w:r>
        <w:t>G</w:t>
      </w:r>
      <w:r>
        <w:rPr>
          <w:rFonts w:hint="eastAsia"/>
        </w:rPr>
        <w:t>oogle drive 文件</w:t>
      </w:r>
    </w:p>
    <w:p w14:paraId="518985AB" w14:textId="4E3E106A" w:rsidR="004B6E06" w:rsidRDefault="004B6E06" w:rsidP="004B6E06">
      <w:pPr>
        <w:pStyle w:val="1"/>
      </w:pPr>
      <w:r>
        <w:rPr>
          <w:rFonts w:hint="eastAsia"/>
        </w:rPr>
        <w:t>Code Availability</w:t>
      </w:r>
    </w:p>
    <w:p w14:paraId="6BE2A2A3" w14:textId="780AE4F9" w:rsidR="004B6E06" w:rsidRDefault="00514F56" w:rsidP="004B6E06">
      <w:r>
        <w:t>G</w:t>
      </w:r>
      <w:r w:rsidR="00937732">
        <w:rPr>
          <w:rFonts w:hint="eastAsia"/>
        </w:rPr>
        <w:t>ithub</w:t>
      </w:r>
      <w:r>
        <w:rPr>
          <w:rFonts w:hint="eastAsia"/>
        </w:rPr>
        <w:t xml:space="preserve"> link</w:t>
      </w:r>
    </w:p>
    <w:p w14:paraId="664155BA" w14:textId="579D4EC1" w:rsidR="004B6E06" w:rsidRDefault="004B6E06" w:rsidP="004B6E06">
      <w:pPr>
        <w:pStyle w:val="1"/>
      </w:pPr>
      <w:r>
        <w:rPr>
          <w:rFonts w:hint="eastAsia"/>
        </w:rPr>
        <w:t>Reference</w:t>
      </w:r>
    </w:p>
    <w:p w14:paraId="6B1FAD57" w14:textId="77777777" w:rsidR="00772888" w:rsidRPr="00772888" w:rsidRDefault="008D14C6" w:rsidP="00772888">
      <w:pPr>
        <w:pStyle w:val="af"/>
        <w:rPr>
          <w:rFonts w:ascii="等线" w:eastAsia="等线" w:hAnsi="等线"/>
        </w:rPr>
      </w:pPr>
      <w:r>
        <w:fldChar w:fldCharType="begin"/>
      </w:r>
      <w:r>
        <w:instrText xml:space="preserve"> ADDIN ZOTERO_BIBL {"uncited":[],"omitted":[],"custom":[]} CSL_BIBLIOGRAPHY </w:instrText>
      </w:r>
      <w:r>
        <w:fldChar w:fldCharType="separate"/>
      </w:r>
      <w:r w:rsidR="00772888" w:rsidRPr="00772888">
        <w:rPr>
          <w:rFonts w:ascii="等线" w:eastAsia="等线" w:hAnsi="等线"/>
        </w:rPr>
        <w:t xml:space="preserve">Cui, H., Wang, C., Maan, H., Pang, K., Luo, F., Duan, N., &amp; Wang, B. (2024). scGPT: Toward building a foundation model for single-cell multi-omics using generative AI. </w:t>
      </w:r>
      <w:r w:rsidR="00772888" w:rsidRPr="00772888">
        <w:rPr>
          <w:rFonts w:ascii="等线" w:eastAsia="等线" w:hAnsi="等线"/>
          <w:i/>
          <w:iCs/>
        </w:rPr>
        <w:t>Nature Methods</w:t>
      </w:r>
      <w:r w:rsidR="00772888" w:rsidRPr="00772888">
        <w:rPr>
          <w:rFonts w:ascii="等线" w:eastAsia="等线" w:hAnsi="等线"/>
        </w:rPr>
        <w:t xml:space="preserve">, </w:t>
      </w:r>
      <w:r w:rsidR="00772888" w:rsidRPr="00772888">
        <w:rPr>
          <w:rFonts w:ascii="等线" w:eastAsia="等线" w:hAnsi="等线"/>
          <w:i/>
          <w:iCs/>
        </w:rPr>
        <w:t>21</w:t>
      </w:r>
      <w:r w:rsidR="00772888" w:rsidRPr="00772888">
        <w:rPr>
          <w:rFonts w:ascii="等线" w:eastAsia="等线" w:hAnsi="等线"/>
        </w:rPr>
        <w:t>(8), 1470–1480. https://doi.org/10.1038/s41592-024-02201-0</w:t>
      </w:r>
    </w:p>
    <w:p w14:paraId="3949D71F" w14:textId="77777777" w:rsidR="00772888" w:rsidRPr="00772888" w:rsidRDefault="00772888" w:rsidP="00772888">
      <w:pPr>
        <w:pStyle w:val="af"/>
        <w:rPr>
          <w:rFonts w:ascii="等线" w:eastAsia="等线" w:hAnsi="等线"/>
        </w:rPr>
      </w:pPr>
      <w:r w:rsidRPr="00772888">
        <w:rPr>
          <w:rFonts w:ascii="等线" w:eastAsia="等线" w:hAnsi="等线"/>
        </w:rPr>
        <w:t xml:space="preserve">Gong, J., Hao, M., Cheng, X., Zeng, X., Liu, C., Ma, J., Zhang, X., Wang, T., &amp; Song, L. (2024). </w:t>
      </w:r>
      <w:r w:rsidRPr="00772888">
        <w:rPr>
          <w:rFonts w:ascii="等线" w:eastAsia="等线" w:hAnsi="等线"/>
          <w:i/>
          <w:iCs/>
        </w:rPr>
        <w:t>xTrimoGene: An Efficient and Scalable Representation Learner for Single-Cell RNA-Seq Data</w:t>
      </w:r>
      <w:r w:rsidRPr="00772888">
        <w:rPr>
          <w:rFonts w:ascii="等线" w:eastAsia="等线" w:hAnsi="等线"/>
        </w:rPr>
        <w:t xml:space="preserve"> (No. arXiv:2311.15156). arXiv. https://doi.org/10.48550/arXiv.2311.15156</w:t>
      </w:r>
    </w:p>
    <w:p w14:paraId="60CE851F" w14:textId="77777777" w:rsidR="00772888" w:rsidRPr="00772888" w:rsidRDefault="00772888" w:rsidP="00772888">
      <w:pPr>
        <w:pStyle w:val="af"/>
        <w:rPr>
          <w:rFonts w:ascii="等线" w:eastAsia="等线" w:hAnsi="等线"/>
        </w:rPr>
      </w:pPr>
      <w:r w:rsidRPr="00772888">
        <w:rPr>
          <w:rFonts w:ascii="等线" w:eastAsia="等线" w:hAnsi="等线"/>
        </w:rPr>
        <w:t xml:space="preserve">He, K., Chen, X., Xie, S., Li, Y., Dollár, P., &amp; Girshick, R. (2021). </w:t>
      </w:r>
      <w:r w:rsidRPr="00772888">
        <w:rPr>
          <w:rFonts w:ascii="等线" w:eastAsia="等线" w:hAnsi="等线"/>
          <w:i/>
          <w:iCs/>
        </w:rPr>
        <w:t xml:space="preserve">Masked Autoencoders Are </w:t>
      </w:r>
      <w:r w:rsidRPr="00772888">
        <w:rPr>
          <w:rFonts w:ascii="等线" w:eastAsia="等线" w:hAnsi="等线"/>
          <w:i/>
          <w:iCs/>
        </w:rPr>
        <w:lastRenderedPageBreak/>
        <w:t>Scalable Vision Learners</w:t>
      </w:r>
      <w:r w:rsidRPr="00772888">
        <w:rPr>
          <w:rFonts w:ascii="等线" w:eastAsia="等线" w:hAnsi="等线"/>
        </w:rPr>
        <w:t xml:space="preserve"> (No. arXiv:2111.06377). arXiv. https://doi.org/10.48550/arXiv.2111.06377</w:t>
      </w:r>
    </w:p>
    <w:p w14:paraId="6DD5CD53" w14:textId="77777777" w:rsidR="00772888" w:rsidRPr="00772888" w:rsidRDefault="00772888" w:rsidP="00772888">
      <w:pPr>
        <w:pStyle w:val="af"/>
        <w:rPr>
          <w:rFonts w:ascii="等线" w:eastAsia="等线" w:hAnsi="等线"/>
        </w:rPr>
      </w:pPr>
      <w:r w:rsidRPr="00772888">
        <w:rPr>
          <w:rFonts w:ascii="等线" w:eastAsia="等线" w:hAnsi="等线"/>
        </w:rPr>
        <w:t xml:space="preserve">Karczewski, K. J., Francioli, L. C., Tiao, G., Cummings, B. B., Alföldi, J., Wang, Q., Collins, R. L., Laricchia, K. M., Ganna, A., Birnbaum, D. P., Gauthier, L. D., Brand, H., Solomonson, M., Watts, N. A., Rhodes, D., Singer-Berk, M., England, E. M., Seaby, E. G., Kosmicki, J. A., … MacArthur, D. G. (2020). The mutational constraint spectrum quantified from variation in 141,456 humans. </w:t>
      </w:r>
      <w:r w:rsidRPr="00772888">
        <w:rPr>
          <w:rFonts w:ascii="等线" w:eastAsia="等线" w:hAnsi="等线"/>
          <w:i/>
          <w:iCs/>
        </w:rPr>
        <w:t>Nature</w:t>
      </w:r>
      <w:r w:rsidRPr="00772888">
        <w:rPr>
          <w:rFonts w:ascii="等线" w:eastAsia="等线" w:hAnsi="等线"/>
        </w:rPr>
        <w:t xml:space="preserve">, </w:t>
      </w:r>
      <w:r w:rsidRPr="00772888">
        <w:rPr>
          <w:rFonts w:ascii="等线" w:eastAsia="等线" w:hAnsi="等线"/>
          <w:i/>
          <w:iCs/>
        </w:rPr>
        <w:t>581</w:t>
      </w:r>
      <w:r w:rsidRPr="00772888">
        <w:rPr>
          <w:rFonts w:ascii="等线" w:eastAsia="等线" w:hAnsi="等线"/>
        </w:rPr>
        <w:t>(7809), 434–443. https://doi.org/10.1038/s41586-020-2308-7</w:t>
      </w:r>
    </w:p>
    <w:p w14:paraId="3E32EBE7" w14:textId="77777777" w:rsidR="00772888" w:rsidRPr="00772888" w:rsidRDefault="00772888" w:rsidP="00772888">
      <w:pPr>
        <w:pStyle w:val="af"/>
        <w:rPr>
          <w:rFonts w:ascii="等线" w:eastAsia="等线" w:hAnsi="等线"/>
        </w:rPr>
      </w:pPr>
      <w:r w:rsidRPr="00772888">
        <w:rPr>
          <w:rFonts w:ascii="等线" w:eastAsia="等线" w:hAnsi="等线"/>
        </w:rPr>
        <w:t xml:space="preserve">Kingma, D. P., &amp; Welling, M. (2013). </w:t>
      </w:r>
      <w:r w:rsidRPr="00772888">
        <w:rPr>
          <w:rFonts w:ascii="等线" w:eastAsia="等线" w:hAnsi="等线"/>
          <w:i/>
          <w:iCs/>
        </w:rPr>
        <w:t>Auto-Encoding Variational Bayes</w:t>
      </w:r>
      <w:r w:rsidRPr="00772888">
        <w:rPr>
          <w:rFonts w:ascii="等线" w:eastAsia="等线" w:hAnsi="等线"/>
        </w:rPr>
        <w:t xml:space="preserve"> (No. arXiv:1312.6114; Version 1). arXiv. https://doi.org/10.48550/arXiv.1312.6114</w:t>
      </w:r>
    </w:p>
    <w:p w14:paraId="4290D569" w14:textId="77777777" w:rsidR="00772888" w:rsidRPr="00772888" w:rsidRDefault="00772888" w:rsidP="00772888">
      <w:pPr>
        <w:pStyle w:val="af"/>
        <w:rPr>
          <w:rFonts w:ascii="等线" w:eastAsia="等线" w:hAnsi="等线"/>
        </w:rPr>
      </w:pPr>
      <w:r w:rsidRPr="00772888">
        <w:rPr>
          <w:rFonts w:ascii="等线" w:eastAsia="等线" w:hAnsi="等线"/>
        </w:rPr>
        <w:t xml:space="preserve">Li, R., Li, L., Xu, Y., &amp; Yang, J. (2022). Machine learning meets omics: Applications and perspectives. </w:t>
      </w:r>
      <w:r w:rsidRPr="00772888">
        <w:rPr>
          <w:rFonts w:ascii="等线" w:eastAsia="等线" w:hAnsi="等线"/>
          <w:i/>
          <w:iCs/>
        </w:rPr>
        <w:t>Briefings in Bioinformatics</w:t>
      </w:r>
      <w:r w:rsidRPr="00772888">
        <w:rPr>
          <w:rFonts w:ascii="等线" w:eastAsia="等线" w:hAnsi="等线"/>
        </w:rPr>
        <w:t xml:space="preserve">, </w:t>
      </w:r>
      <w:r w:rsidRPr="00772888">
        <w:rPr>
          <w:rFonts w:ascii="等线" w:eastAsia="等线" w:hAnsi="等线"/>
          <w:i/>
          <w:iCs/>
        </w:rPr>
        <w:t>23</w:t>
      </w:r>
      <w:r w:rsidRPr="00772888">
        <w:rPr>
          <w:rFonts w:ascii="等线" w:eastAsia="等线" w:hAnsi="等线"/>
        </w:rPr>
        <w:t>(1), bbab460. https://doi.org/10.1093/bib/bbab460</w:t>
      </w:r>
    </w:p>
    <w:p w14:paraId="4957E47A" w14:textId="77777777" w:rsidR="00772888" w:rsidRPr="00772888" w:rsidRDefault="00772888" w:rsidP="00772888">
      <w:pPr>
        <w:pStyle w:val="af"/>
        <w:rPr>
          <w:rFonts w:ascii="等线" w:eastAsia="等线" w:hAnsi="等线"/>
        </w:rPr>
      </w:pPr>
      <w:r w:rsidRPr="00772888">
        <w:rPr>
          <w:rFonts w:ascii="等线" w:eastAsia="等线" w:hAnsi="等线"/>
        </w:rPr>
        <w:t xml:space="preserve">Li, W., Cadet, X. F., Medina-Ortiz, D., Davari, M. D., Sowdhamini, R., Damour, C., Li, Y., Miranville, A., &amp; Cadet, F. (2025). </w:t>
      </w:r>
      <w:r w:rsidRPr="00772888">
        <w:rPr>
          <w:rFonts w:ascii="等线" w:eastAsia="等线" w:hAnsi="等线"/>
          <w:i/>
          <w:iCs/>
        </w:rPr>
        <w:t>From thermodynamics to protein design: Diffusion models for biomolecule generation towards autonomous protein engineering</w:t>
      </w:r>
      <w:r w:rsidRPr="00772888">
        <w:rPr>
          <w:rFonts w:ascii="等线" w:eastAsia="等线" w:hAnsi="等线"/>
        </w:rPr>
        <w:t xml:space="preserve"> (No. arXiv:2501.02680). arXiv. https://doi.org/10.48550/arXiv.2501.02680</w:t>
      </w:r>
    </w:p>
    <w:p w14:paraId="4BE4F329" w14:textId="77777777" w:rsidR="00772888" w:rsidRPr="00772888" w:rsidRDefault="00772888" w:rsidP="00772888">
      <w:pPr>
        <w:pStyle w:val="af"/>
        <w:rPr>
          <w:rFonts w:ascii="等线" w:eastAsia="等线" w:hAnsi="等线"/>
        </w:rPr>
      </w:pPr>
      <w:r w:rsidRPr="00772888">
        <w:rPr>
          <w:rFonts w:ascii="等线" w:eastAsia="等线" w:hAnsi="等线"/>
        </w:rPr>
        <w:t xml:space="preserve">Mayer, B. (Ed.). (2011). </w:t>
      </w:r>
      <w:r w:rsidRPr="00772888">
        <w:rPr>
          <w:rFonts w:ascii="等线" w:eastAsia="等线" w:hAnsi="等线"/>
          <w:i/>
          <w:iCs/>
        </w:rPr>
        <w:t>Bioinformatics for Omics Data: Methods and Protocols</w:t>
      </w:r>
      <w:r w:rsidRPr="00772888">
        <w:rPr>
          <w:rFonts w:ascii="等线" w:eastAsia="等线" w:hAnsi="等线"/>
        </w:rPr>
        <w:t xml:space="preserve"> (Vol. 719). Humana Press. https://doi.org/10.1007/978-1-61779-027-0</w:t>
      </w:r>
    </w:p>
    <w:p w14:paraId="295159BE" w14:textId="77777777" w:rsidR="00772888" w:rsidRPr="00772888" w:rsidRDefault="00772888" w:rsidP="00772888">
      <w:pPr>
        <w:pStyle w:val="af"/>
        <w:rPr>
          <w:rFonts w:ascii="等线" w:eastAsia="等线" w:hAnsi="等线"/>
        </w:rPr>
      </w:pPr>
      <w:r w:rsidRPr="00772888">
        <w:rPr>
          <w:rFonts w:ascii="等线" w:eastAsia="等线" w:hAnsi="等线"/>
        </w:rPr>
        <w:t xml:space="preserve">Meng, C., Zeleznik, O. A., Thallinger, G. G., Kuster, B., Gholami, A. M., &amp; Culhane, A. C. (2016). Dimension reduction techniques for the integrative analysis of multi-omics data. </w:t>
      </w:r>
      <w:r w:rsidRPr="00772888">
        <w:rPr>
          <w:rFonts w:ascii="等线" w:eastAsia="等线" w:hAnsi="等线"/>
          <w:i/>
          <w:iCs/>
        </w:rPr>
        <w:t>Briefings in Bioinformatics</w:t>
      </w:r>
      <w:r w:rsidRPr="00772888">
        <w:rPr>
          <w:rFonts w:ascii="等线" w:eastAsia="等线" w:hAnsi="等线"/>
        </w:rPr>
        <w:t xml:space="preserve">, </w:t>
      </w:r>
      <w:r w:rsidRPr="00772888">
        <w:rPr>
          <w:rFonts w:ascii="等线" w:eastAsia="等线" w:hAnsi="等线"/>
          <w:i/>
          <w:iCs/>
        </w:rPr>
        <w:t>17</w:t>
      </w:r>
      <w:r w:rsidRPr="00772888">
        <w:rPr>
          <w:rFonts w:ascii="等线" w:eastAsia="等线" w:hAnsi="等线"/>
        </w:rPr>
        <w:t>(4), 628–641. https://doi.org/10.1093/bib/bbv108</w:t>
      </w:r>
    </w:p>
    <w:p w14:paraId="30EC8C71" w14:textId="77777777" w:rsidR="00772888" w:rsidRPr="00772888" w:rsidRDefault="00772888" w:rsidP="00772888">
      <w:pPr>
        <w:pStyle w:val="af"/>
        <w:rPr>
          <w:rFonts w:ascii="等线" w:eastAsia="等线" w:hAnsi="等线"/>
        </w:rPr>
      </w:pPr>
      <w:r w:rsidRPr="00772888">
        <w:rPr>
          <w:rFonts w:ascii="等线" w:eastAsia="等线" w:hAnsi="等线"/>
        </w:rPr>
        <w:t xml:space="preserve">Mundlamuri, R., Gunnam, G. R., Mysari, N. K., &amp; Pujuri, J. (2025). The Evolution of AI: From Classical Machine Learning to Modern Large Language Models. </w:t>
      </w:r>
      <w:r w:rsidRPr="00772888">
        <w:rPr>
          <w:rFonts w:ascii="等线" w:eastAsia="等线" w:hAnsi="等线"/>
          <w:i/>
          <w:iCs/>
        </w:rPr>
        <w:t>IEEE Access</w:t>
      </w:r>
      <w:r w:rsidRPr="00772888">
        <w:rPr>
          <w:rFonts w:ascii="等线" w:eastAsia="等线" w:hAnsi="等线"/>
        </w:rPr>
        <w:t xml:space="preserve">, </w:t>
      </w:r>
      <w:r w:rsidRPr="00772888">
        <w:rPr>
          <w:rFonts w:ascii="等线" w:eastAsia="等线" w:hAnsi="等线"/>
          <w:i/>
          <w:iCs/>
        </w:rPr>
        <w:t>13</w:t>
      </w:r>
      <w:r w:rsidRPr="00772888">
        <w:rPr>
          <w:rFonts w:ascii="等线" w:eastAsia="等线" w:hAnsi="等线"/>
        </w:rPr>
        <w:t>, 178302–178341. https://doi.org/10.1109/ACCESS.2025.3621344</w:t>
      </w:r>
    </w:p>
    <w:p w14:paraId="7DD48A49" w14:textId="77777777" w:rsidR="00772888" w:rsidRPr="00772888" w:rsidRDefault="00772888" w:rsidP="00772888">
      <w:pPr>
        <w:pStyle w:val="af"/>
        <w:rPr>
          <w:rFonts w:ascii="等线" w:eastAsia="等线" w:hAnsi="等线"/>
        </w:rPr>
      </w:pPr>
      <w:r w:rsidRPr="00772888">
        <w:rPr>
          <w:rFonts w:ascii="等线" w:eastAsia="等线" w:hAnsi="等线"/>
        </w:rPr>
        <w:t xml:space="preserve">Radanliev, P. (2025). Artificial intelligence: Reflecting on the past and looking towards the next paradigm shift. </w:t>
      </w:r>
      <w:r w:rsidRPr="00772888">
        <w:rPr>
          <w:rFonts w:ascii="等线" w:eastAsia="等线" w:hAnsi="等线"/>
          <w:i/>
          <w:iCs/>
        </w:rPr>
        <w:t>Journal of Experimental &amp; Theoretical Artificial Intelligence</w:t>
      </w:r>
      <w:r w:rsidRPr="00772888">
        <w:rPr>
          <w:rFonts w:ascii="等线" w:eastAsia="等线" w:hAnsi="等线"/>
        </w:rPr>
        <w:t xml:space="preserve">, </w:t>
      </w:r>
      <w:r w:rsidRPr="00772888">
        <w:rPr>
          <w:rFonts w:ascii="等线" w:eastAsia="等线" w:hAnsi="等线"/>
          <w:i/>
          <w:iCs/>
        </w:rPr>
        <w:t>37</w:t>
      </w:r>
      <w:r w:rsidRPr="00772888">
        <w:rPr>
          <w:rFonts w:ascii="等线" w:eastAsia="等线" w:hAnsi="等线"/>
        </w:rPr>
        <w:t>(7), 1045–1062. https://doi.org/10.1080/0952813X.2024.2323042</w:t>
      </w:r>
    </w:p>
    <w:p w14:paraId="5DCA1E69" w14:textId="77777777" w:rsidR="00772888" w:rsidRPr="00772888" w:rsidRDefault="00772888" w:rsidP="00772888">
      <w:pPr>
        <w:pStyle w:val="af"/>
        <w:rPr>
          <w:rFonts w:ascii="等线" w:eastAsia="等线" w:hAnsi="等线"/>
        </w:rPr>
      </w:pPr>
      <w:r w:rsidRPr="00772888">
        <w:rPr>
          <w:rFonts w:ascii="等线" w:eastAsia="等线" w:hAnsi="等线"/>
        </w:rPr>
        <w:t xml:space="preserve">Sengar, S. S., Hasan, A. B., Kumar, S., &amp; Carroll, F. (2025). Generative artificial intelligence: A systematic review and applications. </w:t>
      </w:r>
      <w:r w:rsidRPr="00772888">
        <w:rPr>
          <w:rFonts w:ascii="等线" w:eastAsia="等线" w:hAnsi="等线"/>
          <w:i/>
          <w:iCs/>
        </w:rPr>
        <w:t>Multimedia Tools and Applications</w:t>
      </w:r>
      <w:r w:rsidRPr="00772888">
        <w:rPr>
          <w:rFonts w:ascii="等线" w:eastAsia="等线" w:hAnsi="等线"/>
        </w:rPr>
        <w:t xml:space="preserve">, </w:t>
      </w:r>
      <w:r w:rsidRPr="00772888">
        <w:rPr>
          <w:rFonts w:ascii="等线" w:eastAsia="等线" w:hAnsi="等线"/>
          <w:i/>
          <w:iCs/>
        </w:rPr>
        <w:t>84</w:t>
      </w:r>
      <w:r w:rsidRPr="00772888">
        <w:rPr>
          <w:rFonts w:ascii="等线" w:eastAsia="等线" w:hAnsi="等线"/>
        </w:rPr>
        <w:t>(21), 23661–23700. https://doi.org/10.1007/s11042-024-20016-1</w:t>
      </w:r>
    </w:p>
    <w:p w14:paraId="2DFD80C8" w14:textId="77777777" w:rsidR="00772888" w:rsidRPr="00772888" w:rsidRDefault="00772888" w:rsidP="00772888">
      <w:pPr>
        <w:pStyle w:val="af"/>
        <w:rPr>
          <w:rFonts w:ascii="等线" w:eastAsia="等线" w:hAnsi="等线"/>
        </w:rPr>
      </w:pPr>
      <w:r w:rsidRPr="00772888">
        <w:rPr>
          <w:rFonts w:ascii="等线" w:eastAsia="等线" w:hAnsi="等线"/>
        </w:rPr>
        <w:t xml:space="preserve">Teo, Z. L., Thirunavukarasu, A. J., Elangovan, K., Cheng, H., Moova, P., Soetikno, B., Nielsen, C., Pollreisz, A., Ting, D. S. J., Morris, R. J. T., Shah, N. H., Langlotz, C. P., &amp; Ting, D. S. W. (2025). Generative artificial intelligence in medicine. </w:t>
      </w:r>
      <w:r w:rsidRPr="00772888">
        <w:rPr>
          <w:rFonts w:ascii="等线" w:eastAsia="等线" w:hAnsi="等线"/>
          <w:i/>
          <w:iCs/>
        </w:rPr>
        <w:t>Nature Medicine</w:t>
      </w:r>
      <w:r w:rsidRPr="00772888">
        <w:rPr>
          <w:rFonts w:ascii="等线" w:eastAsia="等线" w:hAnsi="等线"/>
        </w:rPr>
        <w:t xml:space="preserve">, </w:t>
      </w:r>
      <w:r w:rsidRPr="00772888">
        <w:rPr>
          <w:rFonts w:ascii="等线" w:eastAsia="等线" w:hAnsi="等线"/>
          <w:i/>
          <w:iCs/>
        </w:rPr>
        <w:t>31</w:t>
      </w:r>
      <w:r w:rsidRPr="00772888">
        <w:rPr>
          <w:rFonts w:ascii="等线" w:eastAsia="等线" w:hAnsi="等线"/>
        </w:rPr>
        <w:t xml:space="preserve">(10), </w:t>
      </w:r>
      <w:r w:rsidRPr="00772888">
        <w:rPr>
          <w:rFonts w:ascii="等线" w:eastAsia="等线" w:hAnsi="等线"/>
        </w:rPr>
        <w:lastRenderedPageBreak/>
        <w:t>3270–3282. https://doi.org/10.1038/s41591-025-03983-2</w:t>
      </w:r>
    </w:p>
    <w:p w14:paraId="71423BF0" w14:textId="77777777" w:rsidR="00772888" w:rsidRPr="00772888" w:rsidRDefault="00772888" w:rsidP="00772888">
      <w:pPr>
        <w:pStyle w:val="af"/>
        <w:rPr>
          <w:rFonts w:ascii="等线" w:eastAsia="等线" w:hAnsi="等线"/>
        </w:rPr>
      </w:pPr>
      <w:r w:rsidRPr="00772888">
        <w:rPr>
          <w:rFonts w:ascii="等线" w:eastAsia="等线" w:hAnsi="等线"/>
        </w:rPr>
        <w:t xml:space="preserve">Trigka, M., &amp; Dritsas, E. (2025). The Evolution of Generative AI: Trends and Applications. </w:t>
      </w:r>
      <w:r w:rsidRPr="00772888">
        <w:rPr>
          <w:rFonts w:ascii="等线" w:eastAsia="等线" w:hAnsi="等线"/>
          <w:i/>
          <w:iCs/>
        </w:rPr>
        <w:t>IEEE Access</w:t>
      </w:r>
      <w:r w:rsidRPr="00772888">
        <w:rPr>
          <w:rFonts w:ascii="等线" w:eastAsia="等线" w:hAnsi="等线"/>
        </w:rPr>
        <w:t xml:space="preserve">, </w:t>
      </w:r>
      <w:r w:rsidRPr="00772888">
        <w:rPr>
          <w:rFonts w:ascii="等线" w:eastAsia="等线" w:hAnsi="等线"/>
          <w:i/>
          <w:iCs/>
        </w:rPr>
        <w:t>13</w:t>
      </w:r>
      <w:r w:rsidRPr="00772888">
        <w:rPr>
          <w:rFonts w:ascii="等线" w:eastAsia="等线" w:hAnsi="等线"/>
        </w:rPr>
        <w:t>, 98504–98529. https://doi.org/10.1109/ACCESS.2025.3574660</w:t>
      </w:r>
    </w:p>
    <w:p w14:paraId="15026ABD" w14:textId="77777777" w:rsidR="00772888" w:rsidRPr="00772888" w:rsidRDefault="00772888" w:rsidP="00772888">
      <w:pPr>
        <w:pStyle w:val="af"/>
        <w:rPr>
          <w:rFonts w:ascii="等线" w:eastAsia="等线" w:hAnsi="等线"/>
        </w:rPr>
      </w:pPr>
      <w:r w:rsidRPr="00772888">
        <w:rPr>
          <w:rFonts w:ascii="等线" w:eastAsia="等线" w:hAnsi="等线"/>
        </w:rPr>
        <w:t xml:space="preserve">Vaswani, A., Shazeer, N., Parmar, N., Uszkoreit, J., Jones, L., Gomez, A. N., Kaiser, L., &amp; Polosukhin, I. (2017). </w:t>
      </w:r>
      <w:r w:rsidRPr="00772888">
        <w:rPr>
          <w:rFonts w:ascii="等线" w:eastAsia="等线" w:hAnsi="等线"/>
          <w:i/>
          <w:iCs/>
        </w:rPr>
        <w:t>Attention Is All You Need</w:t>
      </w:r>
      <w:r w:rsidRPr="00772888">
        <w:rPr>
          <w:rFonts w:ascii="等线" w:eastAsia="等线" w:hAnsi="等线"/>
        </w:rPr>
        <w:t xml:space="preserve"> (No. arXiv:1706.03762; Version 1). arXiv. https://doi.org/10.48550/arXiv.1706.03762</w:t>
      </w:r>
    </w:p>
    <w:p w14:paraId="18C59494" w14:textId="77777777" w:rsidR="00772888" w:rsidRPr="00772888" w:rsidRDefault="00772888" w:rsidP="00772888">
      <w:pPr>
        <w:pStyle w:val="af"/>
        <w:rPr>
          <w:rFonts w:ascii="等线" w:eastAsia="等线" w:hAnsi="等线"/>
        </w:rPr>
      </w:pPr>
      <w:r w:rsidRPr="00772888">
        <w:rPr>
          <w:rFonts w:ascii="等线" w:eastAsia="等线" w:hAnsi="等线"/>
        </w:rPr>
        <w:t xml:space="preserve">Yazdani, S., Singh, A., Saxena, N., Wang, Z., Palikhe, A., Pan, D., Pal, U., Yang, J., &amp; Zhang, W. (2025). </w:t>
      </w:r>
      <w:r w:rsidRPr="00772888">
        <w:rPr>
          <w:rFonts w:ascii="等线" w:eastAsia="等线" w:hAnsi="等线"/>
          <w:i/>
          <w:iCs/>
        </w:rPr>
        <w:t>Generative AI in Depth: A Survey of Recent Advances, Model Variants, and Real-World Applications</w:t>
      </w:r>
      <w:r w:rsidRPr="00772888">
        <w:rPr>
          <w:rFonts w:ascii="等线" w:eastAsia="等线" w:hAnsi="等线"/>
        </w:rPr>
        <w:t xml:space="preserve"> (No. arXiv:2510.21887). arXiv. https://doi.org/10.48550/arXiv.2510.21887</w:t>
      </w:r>
    </w:p>
    <w:p w14:paraId="4AA03DBA" w14:textId="20B93E05" w:rsidR="004B6E06" w:rsidRPr="004B6E06" w:rsidRDefault="008D14C6" w:rsidP="004B6E06">
      <w:r>
        <w:fldChar w:fldCharType="end"/>
      </w:r>
    </w:p>
    <w:p w14:paraId="3C70C463" w14:textId="31735126" w:rsidR="00566B44" w:rsidRDefault="00566B44" w:rsidP="004156B3"/>
    <w:sectPr w:rsidR="00566B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DAA"/>
    <w:multiLevelType w:val="hybridMultilevel"/>
    <w:tmpl w:val="6D388C1A"/>
    <w:lvl w:ilvl="0" w:tplc="E9F023A0">
      <w:start w:val="1"/>
      <w:numFmt w:val="decimal"/>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0A6B05"/>
    <w:multiLevelType w:val="hybridMultilevel"/>
    <w:tmpl w:val="C122B8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D0171A"/>
    <w:multiLevelType w:val="hybridMultilevel"/>
    <w:tmpl w:val="115C54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D0B1048"/>
    <w:multiLevelType w:val="hybridMultilevel"/>
    <w:tmpl w:val="B13866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4D81899"/>
    <w:multiLevelType w:val="hybridMultilevel"/>
    <w:tmpl w:val="B43CFB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53B7865"/>
    <w:multiLevelType w:val="hybridMultilevel"/>
    <w:tmpl w:val="369A0C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1485A7B"/>
    <w:multiLevelType w:val="hybridMultilevel"/>
    <w:tmpl w:val="F6D60E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9E3782F"/>
    <w:multiLevelType w:val="hybridMultilevel"/>
    <w:tmpl w:val="C4AA2A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1D5302F"/>
    <w:multiLevelType w:val="hybridMultilevel"/>
    <w:tmpl w:val="86CCDD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4D24015"/>
    <w:multiLevelType w:val="hybridMultilevel"/>
    <w:tmpl w:val="34F050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72C6F31"/>
    <w:multiLevelType w:val="hybridMultilevel"/>
    <w:tmpl w:val="E1306C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2517E4C"/>
    <w:multiLevelType w:val="hybridMultilevel"/>
    <w:tmpl w:val="0D96BA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72121D1"/>
    <w:multiLevelType w:val="hybridMultilevel"/>
    <w:tmpl w:val="FB883F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78766A8"/>
    <w:multiLevelType w:val="hybridMultilevel"/>
    <w:tmpl w:val="C3F04B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97873BF"/>
    <w:multiLevelType w:val="hybridMultilevel"/>
    <w:tmpl w:val="90DA78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9B04363"/>
    <w:multiLevelType w:val="hybridMultilevel"/>
    <w:tmpl w:val="C102F9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5D823F0"/>
    <w:multiLevelType w:val="hybridMultilevel"/>
    <w:tmpl w:val="E11204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D451B60"/>
    <w:multiLevelType w:val="hybridMultilevel"/>
    <w:tmpl w:val="C15EB4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44346406">
    <w:abstractNumId w:val="0"/>
  </w:num>
  <w:num w:numId="2" w16cid:durableId="1983803952">
    <w:abstractNumId w:val="13"/>
  </w:num>
  <w:num w:numId="3" w16cid:durableId="2107651616">
    <w:abstractNumId w:val="6"/>
  </w:num>
  <w:num w:numId="4" w16cid:durableId="1355614661">
    <w:abstractNumId w:val="2"/>
  </w:num>
  <w:num w:numId="5" w16cid:durableId="583078224">
    <w:abstractNumId w:val="12"/>
  </w:num>
  <w:num w:numId="6" w16cid:durableId="555745658">
    <w:abstractNumId w:val="8"/>
  </w:num>
  <w:num w:numId="7" w16cid:durableId="315886624">
    <w:abstractNumId w:val="11"/>
  </w:num>
  <w:num w:numId="8" w16cid:durableId="384526330">
    <w:abstractNumId w:val="5"/>
  </w:num>
  <w:num w:numId="9" w16cid:durableId="100220753">
    <w:abstractNumId w:val="9"/>
  </w:num>
  <w:num w:numId="10" w16cid:durableId="730154181">
    <w:abstractNumId w:val="14"/>
  </w:num>
  <w:num w:numId="11" w16cid:durableId="1857230228">
    <w:abstractNumId w:val="17"/>
  </w:num>
  <w:num w:numId="12" w16cid:durableId="850728361">
    <w:abstractNumId w:val="7"/>
  </w:num>
  <w:num w:numId="13" w16cid:durableId="774128969">
    <w:abstractNumId w:val="10"/>
  </w:num>
  <w:num w:numId="14" w16cid:durableId="605694724">
    <w:abstractNumId w:val="16"/>
  </w:num>
  <w:num w:numId="15" w16cid:durableId="1028146456">
    <w:abstractNumId w:val="15"/>
  </w:num>
  <w:num w:numId="16" w16cid:durableId="390543133">
    <w:abstractNumId w:val="4"/>
  </w:num>
  <w:num w:numId="17" w16cid:durableId="822962903">
    <w:abstractNumId w:val="3"/>
  </w:num>
  <w:num w:numId="18" w16cid:durableId="2044749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6B3"/>
    <w:rsid w:val="0000580C"/>
    <w:rsid w:val="0002243C"/>
    <w:rsid w:val="0005348D"/>
    <w:rsid w:val="000A618D"/>
    <w:rsid w:val="000B489E"/>
    <w:rsid w:val="000C07C0"/>
    <w:rsid w:val="000C3187"/>
    <w:rsid w:val="000C515D"/>
    <w:rsid w:val="00105F25"/>
    <w:rsid w:val="001149BC"/>
    <w:rsid w:val="00123DC3"/>
    <w:rsid w:val="0012694E"/>
    <w:rsid w:val="00133405"/>
    <w:rsid w:val="001A3466"/>
    <w:rsid w:val="001D0384"/>
    <w:rsid w:val="001D31E5"/>
    <w:rsid w:val="001E5CE6"/>
    <w:rsid w:val="001F400B"/>
    <w:rsid w:val="0027627E"/>
    <w:rsid w:val="00277E8D"/>
    <w:rsid w:val="002D127C"/>
    <w:rsid w:val="003543D1"/>
    <w:rsid w:val="0037632D"/>
    <w:rsid w:val="00376678"/>
    <w:rsid w:val="00397434"/>
    <w:rsid w:val="003A548F"/>
    <w:rsid w:val="003A5EF8"/>
    <w:rsid w:val="003A6B41"/>
    <w:rsid w:val="003C6E24"/>
    <w:rsid w:val="003D11E6"/>
    <w:rsid w:val="003F062E"/>
    <w:rsid w:val="004156B3"/>
    <w:rsid w:val="00440966"/>
    <w:rsid w:val="00446975"/>
    <w:rsid w:val="004B6E06"/>
    <w:rsid w:val="00503A3C"/>
    <w:rsid w:val="00514F56"/>
    <w:rsid w:val="00561E96"/>
    <w:rsid w:val="00566B44"/>
    <w:rsid w:val="00577582"/>
    <w:rsid w:val="0058192C"/>
    <w:rsid w:val="00600895"/>
    <w:rsid w:val="006136EB"/>
    <w:rsid w:val="00621A70"/>
    <w:rsid w:val="006B2206"/>
    <w:rsid w:val="00703095"/>
    <w:rsid w:val="007128B2"/>
    <w:rsid w:val="00722AF9"/>
    <w:rsid w:val="00772888"/>
    <w:rsid w:val="007921DF"/>
    <w:rsid w:val="007C044E"/>
    <w:rsid w:val="00840FAF"/>
    <w:rsid w:val="008C138C"/>
    <w:rsid w:val="008D14C6"/>
    <w:rsid w:val="008F6137"/>
    <w:rsid w:val="009007DA"/>
    <w:rsid w:val="00937732"/>
    <w:rsid w:val="00945D1D"/>
    <w:rsid w:val="00A111C5"/>
    <w:rsid w:val="00A13CEF"/>
    <w:rsid w:val="00A40ECD"/>
    <w:rsid w:val="00A64FB9"/>
    <w:rsid w:val="00AB730D"/>
    <w:rsid w:val="00B67935"/>
    <w:rsid w:val="00B70A5B"/>
    <w:rsid w:val="00B7191E"/>
    <w:rsid w:val="00BC53BE"/>
    <w:rsid w:val="00BD3907"/>
    <w:rsid w:val="00C07089"/>
    <w:rsid w:val="00C1174D"/>
    <w:rsid w:val="00C1268F"/>
    <w:rsid w:val="00C23938"/>
    <w:rsid w:val="00C31D0F"/>
    <w:rsid w:val="00C41F32"/>
    <w:rsid w:val="00CD3FBF"/>
    <w:rsid w:val="00D06AB6"/>
    <w:rsid w:val="00D14055"/>
    <w:rsid w:val="00D22DE1"/>
    <w:rsid w:val="00D779E3"/>
    <w:rsid w:val="00DD26CB"/>
    <w:rsid w:val="00E02059"/>
    <w:rsid w:val="00E1281F"/>
    <w:rsid w:val="00E64694"/>
    <w:rsid w:val="00E913C2"/>
    <w:rsid w:val="00E91679"/>
    <w:rsid w:val="00E91C89"/>
    <w:rsid w:val="00EB0AA4"/>
    <w:rsid w:val="00EE366B"/>
    <w:rsid w:val="00F07D45"/>
    <w:rsid w:val="00F42C17"/>
    <w:rsid w:val="00F6024E"/>
    <w:rsid w:val="00F81BC0"/>
    <w:rsid w:val="00F95245"/>
    <w:rsid w:val="00FA7068"/>
    <w:rsid w:val="00FC63AE"/>
    <w:rsid w:val="00FF5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E6D3"/>
  <w15:chartTrackingRefBased/>
  <w15:docId w15:val="{6D95F5F2-8C85-405D-9191-59640572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26CB"/>
    <w:pPr>
      <w:widowControl w:val="0"/>
    </w:pPr>
  </w:style>
  <w:style w:type="paragraph" w:styleId="1">
    <w:name w:val="heading 1"/>
    <w:basedOn w:val="a"/>
    <w:next w:val="a"/>
    <w:link w:val="10"/>
    <w:uiPriority w:val="9"/>
    <w:qFormat/>
    <w:rsid w:val="004156B3"/>
    <w:pPr>
      <w:keepNext/>
      <w:keepLines/>
      <w:numPr>
        <w:numId w:val="1"/>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156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156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56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56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56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56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56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56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56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156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156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56B3"/>
    <w:rPr>
      <w:rFonts w:cstheme="majorBidi"/>
      <w:color w:val="0F4761" w:themeColor="accent1" w:themeShade="BF"/>
      <w:sz w:val="28"/>
      <w:szCs w:val="28"/>
    </w:rPr>
  </w:style>
  <w:style w:type="character" w:customStyle="1" w:styleId="50">
    <w:name w:val="标题 5 字符"/>
    <w:basedOn w:val="a0"/>
    <w:link w:val="5"/>
    <w:uiPriority w:val="9"/>
    <w:semiHidden/>
    <w:rsid w:val="004156B3"/>
    <w:rPr>
      <w:rFonts w:cstheme="majorBidi"/>
      <w:color w:val="0F4761" w:themeColor="accent1" w:themeShade="BF"/>
      <w:sz w:val="24"/>
    </w:rPr>
  </w:style>
  <w:style w:type="character" w:customStyle="1" w:styleId="60">
    <w:name w:val="标题 6 字符"/>
    <w:basedOn w:val="a0"/>
    <w:link w:val="6"/>
    <w:uiPriority w:val="9"/>
    <w:semiHidden/>
    <w:rsid w:val="004156B3"/>
    <w:rPr>
      <w:rFonts w:cstheme="majorBidi"/>
      <w:b/>
      <w:bCs/>
      <w:color w:val="0F4761" w:themeColor="accent1" w:themeShade="BF"/>
    </w:rPr>
  </w:style>
  <w:style w:type="character" w:customStyle="1" w:styleId="70">
    <w:name w:val="标题 7 字符"/>
    <w:basedOn w:val="a0"/>
    <w:link w:val="7"/>
    <w:uiPriority w:val="9"/>
    <w:semiHidden/>
    <w:rsid w:val="004156B3"/>
    <w:rPr>
      <w:rFonts w:cstheme="majorBidi"/>
      <w:b/>
      <w:bCs/>
      <w:color w:val="595959" w:themeColor="text1" w:themeTint="A6"/>
    </w:rPr>
  </w:style>
  <w:style w:type="character" w:customStyle="1" w:styleId="80">
    <w:name w:val="标题 8 字符"/>
    <w:basedOn w:val="a0"/>
    <w:link w:val="8"/>
    <w:uiPriority w:val="9"/>
    <w:semiHidden/>
    <w:rsid w:val="004156B3"/>
    <w:rPr>
      <w:rFonts w:cstheme="majorBidi"/>
      <w:color w:val="595959" w:themeColor="text1" w:themeTint="A6"/>
    </w:rPr>
  </w:style>
  <w:style w:type="character" w:customStyle="1" w:styleId="90">
    <w:name w:val="标题 9 字符"/>
    <w:basedOn w:val="a0"/>
    <w:link w:val="9"/>
    <w:uiPriority w:val="9"/>
    <w:semiHidden/>
    <w:rsid w:val="004156B3"/>
    <w:rPr>
      <w:rFonts w:eastAsiaTheme="majorEastAsia" w:cstheme="majorBidi"/>
      <w:color w:val="595959" w:themeColor="text1" w:themeTint="A6"/>
    </w:rPr>
  </w:style>
  <w:style w:type="paragraph" w:styleId="a3">
    <w:name w:val="Title"/>
    <w:basedOn w:val="a"/>
    <w:next w:val="a"/>
    <w:link w:val="a4"/>
    <w:uiPriority w:val="10"/>
    <w:qFormat/>
    <w:rsid w:val="004156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56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6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56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56B3"/>
    <w:pPr>
      <w:spacing w:before="160"/>
      <w:jc w:val="center"/>
    </w:pPr>
    <w:rPr>
      <w:i/>
      <w:iCs/>
      <w:color w:val="404040" w:themeColor="text1" w:themeTint="BF"/>
    </w:rPr>
  </w:style>
  <w:style w:type="character" w:customStyle="1" w:styleId="a8">
    <w:name w:val="引用 字符"/>
    <w:basedOn w:val="a0"/>
    <w:link w:val="a7"/>
    <w:uiPriority w:val="29"/>
    <w:rsid w:val="004156B3"/>
    <w:rPr>
      <w:i/>
      <w:iCs/>
      <w:color w:val="404040" w:themeColor="text1" w:themeTint="BF"/>
    </w:rPr>
  </w:style>
  <w:style w:type="paragraph" w:styleId="a9">
    <w:name w:val="List Paragraph"/>
    <w:basedOn w:val="a"/>
    <w:uiPriority w:val="34"/>
    <w:qFormat/>
    <w:rsid w:val="004156B3"/>
    <w:pPr>
      <w:ind w:left="720"/>
      <w:contextualSpacing/>
    </w:pPr>
  </w:style>
  <w:style w:type="character" w:styleId="aa">
    <w:name w:val="Intense Emphasis"/>
    <w:basedOn w:val="a0"/>
    <w:uiPriority w:val="21"/>
    <w:qFormat/>
    <w:rsid w:val="004156B3"/>
    <w:rPr>
      <w:i/>
      <w:iCs/>
      <w:color w:val="0F4761" w:themeColor="accent1" w:themeShade="BF"/>
    </w:rPr>
  </w:style>
  <w:style w:type="paragraph" w:styleId="ab">
    <w:name w:val="Intense Quote"/>
    <w:basedOn w:val="a"/>
    <w:next w:val="a"/>
    <w:link w:val="ac"/>
    <w:uiPriority w:val="30"/>
    <w:qFormat/>
    <w:rsid w:val="00415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56B3"/>
    <w:rPr>
      <w:i/>
      <w:iCs/>
      <w:color w:val="0F4761" w:themeColor="accent1" w:themeShade="BF"/>
    </w:rPr>
  </w:style>
  <w:style w:type="character" w:styleId="ad">
    <w:name w:val="Intense Reference"/>
    <w:basedOn w:val="a0"/>
    <w:uiPriority w:val="32"/>
    <w:qFormat/>
    <w:rsid w:val="004156B3"/>
    <w:rPr>
      <w:b/>
      <w:bCs/>
      <w:smallCaps/>
      <w:color w:val="0F4761" w:themeColor="accent1" w:themeShade="BF"/>
      <w:spacing w:val="5"/>
    </w:rPr>
  </w:style>
  <w:style w:type="character" w:styleId="ae">
    <w:name w:val="Placeholder Text"/>
    <w:basedOn w:val="a0"/>
    <w:uiPriority w:val="99"/>
    <w:semiHidden/>
    <w:rsid w:val="000C07C0"/>
    <w:rPr>
      <w:color w:val="666666"/>
    </w:rPr>
  </w:style>
  <w:style w:type="paragraph" w:styleId="af">
    <w:name w:val="Bibliography"/>
    <w:basedOn w:val="a"/>
    <w:next w:val="a"/>
    <w:uiPriority w:val="37"/>
    <w:unhideWhenUsed/>
    <w:rsid w:val="00C07089"/>
  </w:style>
  <w:style w:type="table" w:styleId="af0">
    <w:name w:val="Table Grid"/>
    <w:basedOn w:val="a1"/>
    <w:uiPriority w:val="39"/>
    <w:rsid w:val="00840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83237F-26AA-4218-8B10-977AB9789A9B}"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zh-CN" altLang="en-US"/>
        </a:p>
      </dgm:t>
    </dgm:pt>
    <dgm:pt modelId="{5FA0CA57-80F4-44C9-9F7A-657A98A4EDD1}">
      <dgm:prSet phldrT="[文本]"/>
      <dgm:spPr/>
      <dgm:t>
        <a:bodyPr/>
        <a:lstStyle/>
        <a:p>
          <a:r>
            <a:rPr lang="en-CA" altLang="en-US"/>
            <a:t>Masked-Modality Training</a:t>
          </a:r>
          <a:endParaRPr lang="zh-CN" altLang="en-US"/>
        </a:p>
      </dgm:t>
    </dgm:pt>
    <dgm:pt modelId="{6518FECC-FE31-43D7-B3C5-30F1C09A651C}" type="parTrans" cxnId="{CC2B4350-51B1-4543-8AEA-6F33D8E53845}">
      <dgm:prSet/>
      <dgm:spPr/>
      <dgm:t>
        <a:bodyPr/>
        <a:lstStyle/>
        <a:p>
          <a:endParaRPr lang="zh-CN" altLang="en-US"/>
        </a:p>
      </dgm:t>
    </dgm:pt>
    <dgm:pt modelId="{119A777A-D59B-4173-AEAD-967FE4D289C8}" type="sibTrans" cxnId="{CC2B4350-51B1-4543-8AEA-6F33D8E53845}">
      <dgm:prSet/>
      <dgm:spPr/>
      <dgm:t>
        <a:bodyPr/>
        <a:lstStyle/>
        <a:p>
          <a:endParaRPr lang="zh-CN" altLang="en-US"/>
        </a:p>
      </dgm:t>
    </dgm:pt>
    <dgm:pt modelId="{F4EF7866-6981-4327-8C12-D96BE37A274B}">
      <dgm:prSet phldrT="[文本]"/>
      <dgm:spPr/>
      <dgm:t>
        <a:bodyPr/>
        <a:lstStyle/>
        <a:p>
          <a:r>
            <a:rPr lang="en-US" altLang="zh-CN"/>
            <a:t>VAE Encoders </a:t>
          </a:r>
          <a:r>
            <a:rPr lang="en-CA" altLang="zh-CN"/>
            <a:t>(One per Modality)</a:t>
          </a:r>
          <a:endParaRPr lang="zh-CN" altLang="en-US"/>
        </a:p>
      </dgm:t>
    </dgm:pt>
    <dgm:pt modelId="{9D1BC2A2-68CD-41E1-870D-78D356275405}" type="parTrans" cxnId="{A5B053F8-A4AA-43C5-B9B6-23E13DEC619D}">
      <dgm:prSet/>
      <dgm:spPr/>
      <dgm:t>
        <a:bodyPr/>
        <a:lstStyle/>
        <a:p>
          <a:endParaRPr lang="zh-CN" altLang="en-US"/>
        </a:p>
      </dgm:t>
    </dgm:pt>
    <dgm:pt modelId="{CFA0ABE9-7F9C-4F8A-850F-3D078467BDBC}" type="sibTrans" cxnId="{A5B053F8-A4AA-43C5-B9B6-23E13DEC619D}">
      <dgm:prSet/>
      <dgm:spPr/>
      <dgm:t>
        <a:bodyPr/>
        <a:lstStyle/>
        <a:p>
          <a:endParaRPr lang="zh-CN" altLang="en-US"/>
        </a:p>
      </dgm:t>
    </dgm:pt>
    <dgm:pt modelId="{6F793725-5243-4CF9-B432-D3DA6305EE9F}">
      <dgm:prSet/>
      <dgm:spPr/>
      <dgm:t>
        <a:bodyPr/>
        <a:lstStyle/>
        <a:p>
          <a:r>
            <a:rPr lang="en-CA" altLang="zh-CN"/>
            <a:t>Latent Tokenization</a:t>
          </a:r>
          <a:endParaRPr lang="zh-CN" altLang="zh-CN"/>
        </a:p>
      </dgm:t>
    </dgm:pt>
    <dgm:pt modelId="{DA8859F2-88A7-47ED-AB3F-B2248D7025FB}" type="parTrans" cxnId="{C44F6FFA-16E9-4090-81E0-1B4F6B4769CA}">
      <dgm:prSet/>
      <dgm:spPr/>
      <dgm:t>
        <a:bodyPr/>
        <a:lstStyle/>
        <a:p>
          <a:endParaRPr lang="zh-CN" altLang="en-US"/>
        </a:p>
      </dgm:t>
    </dgm:pt>
    <dgm:pt modelId="{7A63BB65-F7B7-4C44-9E08-7EA7F12AF5D1}" type="sibTrans" cxnId="{C44F6FFA-16E9-4090-81E0-1B4F6B4769CA}">
      <dgm:prSet/>
      <dgm:spPr/>
      <dgm:t>
        <a:bodyPr/>
        <a:lstStyle/>
        <a:p>
          <a:endParaRPr lang="zh-CN" altLang="en-US"/>
        </a:p>
      </dgm:t>
    </dgm:pt>
    <dgm:pt modelId="{79E2FB4E-E297-40C9-A0B0-F97992292C26}">
      <dgm:prSet/>
      <dgm:spPr/>
      <dgm:t>
        <a:bodyPr/>
        <a:lstStyle/>
        <a:p>
          <a:r>
            <a:rPr lang="en-CA" altLang="en-US"/>
            <a:t>Cross-Omics Transformer</a:t>
          </a:r>
          <a:endParaRPr lang="zh-CN" altLang="en-US"/>
        </a:p>
      </dgm:t>
    </dgm:pt>
    <dgm:pt modelId="{21ECD8E5-F17D-4551-9D8D-D0123F6999B5}" type="parTrans" cxnId="{563CF95D-47C0-4C55-849D-6876203B1453}">
      <dgm:prSet/>
      <dgm:spPr/>
      <dgm:t>
        <a:bodyPr/>
        <a:lstStyle/>
        <a:p>
          <a:endParaRPr lang="zh-CN" altLang="en-US"/>
        </a:p>
      </dgm:t>
    </dgm:pt>
    <dgm:pt modelId="{3B711275-AA5A-499B-93DF-1A8987E7F3F9}" type="sibTrans" cxnId="{563CF95D-47C0-4C55-849D-6876203B1453}">
      <dgm:prSet/>
      <dgm:spPr/>
      <dgm:t>
        <a:bodyPr/>
        <a:lstStyle/>
        <a:p>
          <a:endParaRPr lang="zh-CN" altLang="en-US"/>
        </a:p>
      </dgm:t>
    </dgm:pt>
    <dgm:pt modelId="{9BB3D724-2CD9-4FF9-99D2-BA057B9FAD75}">
      <dgm:prSet/>
      <dgm:spPr/>
      <dgm:t>
        <a:bodyPr/>
        <a:lstStyle/>
        <a:p>
          <a:r>
            <a:rPr lang="en-CA" altLang="en-US"/>
            <a:t>VAE Decoders (Generative Output)</a:t>
          </a:r>
          <a:endParaRPr lang="zh-CN" altLang="en-US"/>
        </a:p>
      </dgm:t>
    </dgm:pt>
    <dgm:pt modelId="{07A74087-814B-4127-821A-D3B3377FFB6E}" type="parTrans" cxnId="{973C470B-14A2-407F-BA63-E43F0EA2B740}">
      <dgm:prSet/>
      <dgm:spPr/>
      <dgm:t>
        <a:bodyPr/>
        <a:lstStyle/>
        <a:p>
          <a:endParaRPr lang="zh-CN" altLang="en-US"/>
        </a:p>
      </dgm:t>
    </dgm:pt>
    <dgm:pt modelId="{F10C6EF3-7664-4CB7-952A-C18ABC7F7995}" type="sibTrans" cxnId="{973C470B-14A2-407F-BA63-E43F0EA2B740}">
      <dgm:prSet/>
      <dgm:spPr/>
      <dgm:t>
        <a:bodyPr/>
        <a:lstStyle/>
        <a:p>
          <a:endParaRPr lang="zh-CN" altLang="en-US"/>
        </a:p>
      </dgm:t>
    </dgm:pt>
    <dgm:pt modelId="{602A8021-4DA7-4010-9CA8-9B14454359BD}" type="pres">
      <dgm:prSet presAssocID="{3383237F-26AA-4218-8B10-977AB9789A9B}" presName="outerComposite" presStyleCnt="0">
        <dgm:presLayoutVars>
          <dgm:chMax val="5"/>
          <dgm:dir/>
          <dgm:resizeHandles val="exact"/>
        </dgm:presLayoutVars>
      </dgm:prSet>
      <dgm:spPr/>
    </dgm:pt>
    <dgm:pt modelId="{7B5F2B2E-1492-4D2C-BEF5-0961E42B6E35}" type="pres">
      <dgm:prSet presAssocID="{3383237F-26AA-4218-8B10-977AB9789A9B}" presName="dummyMaxCanvas" presStyleCnt="0">
        <dgm:presLayoutVars/>
      </dgm:prSet>
      <dgm:spPr/>
    </dgm:pt>
    <dgm:pt modelId="{88920F89-23B8-496A-A94D-F0126B1A2181}" type="pres">
      <dgm:prSet presAssocID="{3383237F-26AA-4218-8B10-977AB9789A9B}" presName="FiveNodes_1" presStyleLbl="node1" presStyleIdx="0" presStyleCnt="5">
        <dgm:presLayoutVars>
          <dgm:bulletEnabled val="1"/>
        </dgm:presLayoutVars>
      </dgm:prSet>
      <dgm:spPr/>
    </dgm:pt>
    <dgm:pt modelId="{DD7A1551-1D7D-4D7F-A68C-EC39DDA1BA5B}" type="pres">
      <dgm:prSet presAssocID="{3383237F-26AA-4218-8B10-977AB9789A9B}" presName="FiveNodes_2" presStyleLbl="node1" presStyleIdx="1" presStyleCnt="5">
        <dgm:presLayoutVars>
          <dgm:bulletEnabled val="1"/>
        </dgm:presLayoutVars>
      </dgm:prSet>
      <dgm:spPr/>
    </dgm:pt>
    <dgm:pt modelId="{1CDABB0B-21AB-4BCC-84D4-0BAAED857A45}" type="pres">
      <dgm:prSet presAssocID="{3383237F-26AA-4218-8B10-977AB9789A9B}" presName="FiveNodes_3" presStyleLbl="node1" presStyleIdx="2" presStyleCnt="5">
        <dgm:presLayoutVars>
          <dgm:bulletEnabled val="1"/>
        </dgm:presLayoutVars>
      </dgm:prSet>
      <dgm:spPr/>
    </dgm:pt>
    <dgm:pt modelId="{FDC9EB9A-A683-4CF1-B024-2FEE928700D2}" type="pres">
      <dgm:prSet presAssocID="{3383237F-26AA-4218-8B10-977AB9789A9B}" presName="FiveNodes_4" presStyleLbl="node1" presStyleIdx="3" presStyleCnt="5">
        <dgm:presLayoutVars>
          <dgm:bulletEnabled val="1"/>
        </dgm:presLayoutVars>
      </dgm:prSet>
      <dgm:spPr/>
    </dgm:pt>
    <dgm:pt modelId="{E55D7482-B1E9-4E12-B6EE-1C9469D7A407}" type="pres">
      <dgm:prSet presAssocID="{3383237F-26AA-4218-8B10-977AB9789A9B}" presName="FiveNodes_5" presStyleLbl="node1" presStyleIdx="4" presStyleCnt="5">
        <dgm:presLayoutVars>
          <dgm:bulletEnabled val="1"/>
        </dgm:presLayoutVars>
      </dgm:prSet>
      <dgm:spPr/>
    </dgm:pt>
    <dgm:pt modelId="{667304BC-A9C8-4033-9E93-CB2A4F064970}" type="pres">
      <dgm:prSet presAssocID="{3383237F-26AA-4218-8B10-977AB9789A9B}" presName="FiveConn_1-2" presStyleLbl="fgAccFollowNode1" presStyleIdx="0" presStyleCnt="4">
        <dgm:presLayoutVars>
          <dgm:bulletEnabled val="1"/>
        </dgm:presLayoutVars>
      </dgm:prSet>
      <dgm:spPr/>
    </dgm:pt>
    <dgm:pt modelId="{07C054EF-27AC-4437-8B16-E78B8784E188}" type="pres">
      <dgm:prSet presAssocID="{3383237F-26AA-4218-8B10-977AB9789A9B}" presName="FiveConn_2-3" presStyleLbl="fgAccFollowNode1" presStyleIdx="1" presStyleCnt="4">
        <dgm:presLayoutVars>
          <dgm:bulletEnabled val="1"/>
        </dgm:presLayoutVars>
      </dgm:prSet>
      <dgm:spPr/>
    </dgm:pt>
    <dgm:pt modelId="{3082938E-23FE-42BA-B378-1F1936F6E927}" type="pres">
      <dgm:prSet presAssocID="{3383237F-26AA-4218-8B10-977AB9789A9B}" presName="FiveConn_3-4" presStyleLbl="fgAccFollowNode1" presStyleIdx="2" presStyleCnt="4">
        <dgm:presLayoutVars>
          <dgm:bulletEnabled val="1"/>
        </dgm:presLayoutVars>
      </dgm:prSet>
      <dgm:spPr/>
    </dgm:pt>
    <dgm:pt modelId="{ACC20B6E-BC6D-4970-8A6E-FEF7C7BA96AC}" type="pres">
      <dgm:prSet presAssocID="{3383237F-26AA-4218-8B10-977AB9789A9B}" presName="FiveConn_4-5" presStyleLbl="fgAccFollowNode1" presStyleIdx="3" presStyleCnt="4">
        <dgm:presLayoutVars>
          <dgm:bulletEnabled val="1"/>
        </dgm:presLayoutVars>
      </dgm:prSet>
      <dgm:spPr/>
    </dgm:pt>
    <dgm:pt modelId="{2BF30065-E100-436B-A06C-B06DE0B5C183}" type="pres">
      <dgm:prSet presAssocID="{3383237F-26AA-4218-8B10-977AB9789A9B}" presName="FiveNodes_1_text" presStyleLbl="node1" presStyleIdx="4" presStyleCnt="5">
        <dgm:presLayoutVars>
          <dgm:bulletEnabled val="1"/>
        </dgm:presLayoutVars>
      </dgm:prSet>
      <dgm:spPr/>
    </dgm:pt>
    <dgm:pt modelId="{B535AE21-F9CA-4961-99EF-A672CB0D1BBF}" type="pres">
      <dgm:prSet presAssocID="{3383237F-26AA-4218-8B10-977AB9789A9B}" presName="FiveNodes_2_text" presStyleLbl="node1" presStyleIdx="4" presStyleCnt="5">
        <dgm:presLayoutVars>
          <dgm:bulletEnabled val="1"/>
        </dgm:presLayoutVars>
      </dgm:prSet>
      <dgm:spPr/>
    </dgm:pt>
    <dgm:pt modelId="{9038E171-DCE3-4D05-B426-5215FF5DAA69}" type="pres">
      <dgm:prSet presAssocID="{3383237F-26AA-4218-8B10-977AB9789A9B}" presName="FiveNodes_3_text" presStyleLbl="node1" presStyleIdx="4" presStyleCnt="5">
        <dgm:presLayoutVars>
          <dgm:bulletEnabled val="1"/>
        </dgm:presLayoutVars>
      </dgm:prSet>
      <dgm:spPr/>
    </dgm:pt>
    <dgm:pt modelId="{F9227077-C03A-43E6-A50E-8ED4E63F5763}" type="pres">
      <dgm:prSet presAssocID="{3383237F-26AA-4218-8B10-977AB9789A9B}" presName="FiveNodes_4_text" presStyleLbl="node1" presStyleIdx="4" presStyleCnt="5">
        <dgm:presLayoutVars>
          <dgm:bulletEnabled val="1"/>
        </dgm:presLayoutVars>
      </dgm:prSet>
      <dgm:spPr/>
    </dgm:pt>
    <dgm:pt modelId="{10A90BF3-A297-4BE2-B022-ED8C228B1CF8}" type="pres">
      <dgm:prSet presAssocID="{3383237F-26AA-4218-8B10-977AB9789A9B}" presName="FiveNodes_5_text" presStyleLbl="node1" presStyleIdx="4" presStyleCnt="5">
        <dgm:presLayoutVars>
          <dgm:bulletEnabled val="1"/>
        </dgm:presLayoutVars>
      </dgm:prSet>
      <dgm:spPr/>
    </dgm:pt>
  </dgm:ptLst>
  <dgm:cxnLst>
    <dgm:cxn modelId="{973C470B-14A2-407F-BA63-E43F0EA2B740}" srcId="{3383237F-26AA-4218-8B10-977AB9789A9B}" destId="{9BB3D724-2CD9-4FF9-99D2-BA057B9FAD75}" srcOrd="4" destOrd="0" parTransId="{07A74087-814B-4127-821A-D3B3377FFB6E}" sibTransId="{F10C6EF3-7664-4CB7-952A-C18ABC7F7995}"/>
    <dgm:cxn modelId="{E87FB10B-C4FA-4573-B1B9-ADD9B31CD694}" type="presOf" srcId="{79E2FB4E-E297-40C9-A0B0-F97992292C26}" destId="{FDC9EB9A-A683-4CF1-B024-2FEE928700D2}" srcOrd="0" destOrd="0" presId="urn:microsoft.com/office/officeart/2005/8/layout/vProcess5"/>
    <dgm:cxn modelId="{9D4B3E11-B0DB-4B02-96F6-159FD38BA94D}" type="presOf" srcId="{CFA0ABE9-7F9C-4F8A-850F-3D078467BDBC}" destId="{07C054EF-27AC-4437-8B16-E78B8784E188}" srcOrd="0" destOrd="0" presId="urn:microsoft.com/office/officeart/2005/8/layout/vProcess5"/>
    <dgm:cxn modelId="{6BB9C65B-83B9-4B92-8233-F358F20A6CCB}" type="presOf" srcId="{5FA0CA57-80F4-44C9-9F7A-657A98A4EDD1}" destId="{2BF30065-E100-436B-A06C-B06DE0B5C183}" srcOrd="1" destOrd="0" presId="urn:microsoft.com/office/officeart/2005/8/layout/vProcess5"/>
    <dgm:cxn modelId="{563CF95D-47C0-4C55-849D-6876203B1453}" srcId="{3383237F-26AA-4218-8B10-977AB9789A9B}" destId="{79E2FB4E-E297-40C9-A0B0-F97992292C26}" srcOrd="3" destOrd="0" parTransId="{21ECD8E5-F17D-4551-9D8D-D0123F6999B5}" sibTransId="{3B711275-AA5A-499B-93DF-1A8987E7F3F9}"/>
    <dgm:cxn modelId="{FBF84A44-5DCA-44AB-9916-6A8D37E3082D}" type="presOf" srcId="{6F793725-5243-4CF9-B432-D3DA6305EE9F}" destId="{1CDABB0B-21AB-4BCC-84D4-0BAAED857A45}" srcOrd="0" destOrd="0" presId="urn:microsoft.com/office/officeart/2005/8/layout/vProcess5"/>
    <dgm:cxn modelId="{9D233045-C2D1-4D7D-B9E5-405CFF8CBB6B}" type="presOf" srcId="{3383237F-26AA-4218-8B10-977AB9789A9B}" destId="{602A8021-4DA7-4010-9CA8-9B14454359BD}" srcOrd="0" destOrd="0" presId="urn:microsoft.com/office/officeart/2005/8/layout/vProcess5"/>
    <dgm:cxn modelId="{203EC447-301D-41DD-A036-01B793E44B20}" type="presOf" srcId="{119A777A-D59B-4173-AEAD-967FE4D289C8}" destId="{667304BC-A9C8-4033-9E93-CB2A4F064970}" srcOrd="0" destOrd="0" presId="urn:microsoft.com/office/officeart/2005/8/layout/vProcess5"/>
    <dgm:cxn modelId="{CC2B4350-51B1-4543-8AEA-6F33D8E53845}" srcId="{3383237F-26AA-4218-8B10-977AB9789A9B}" destId="{5FA0CA57-80F4-44C9-9F7A-657A98A4EDD1}" srcOrd="0" destOrd="0" parTransId="{6518FECC-FE31-43D7-B3C5-30F1C09A651C}" sibTransId="{119A777A-D59B-4173-AEAD-967FE4D289C8}"/>
    <dgm:cxn modelId="{4B4FA47D-C9D0-47EE-A1C1-AD7F153F92EB}" type="presOf" srcId="{79E2FB4E-E297-40C9-A0B0-F97992292C26}" destId="{F9227077-C03A-43E6-A50E-8ED4E63F5763}" srcOrd="1" destOrd="0" presId="urn:microsoft.com/office/officeart/2005/8/layout/vProcess5"/>
    <dgm:cxn modelId="{E2A3FB7F-A6F5-4B43-A217-AD9D75334A88}" type="presOf" srcId="{6F793725-5243-4CF9-B432-D3DA6305EE9F}" destId="{9038E171-DCE3-4D05-B426-5215FF5DAA69}" srcOrd="1" destOrd="0" presId="urn:microsoft.com/office/officeart/2005/8/layout/vProcess5"/>
    <dgm:cxn modelId="{D097D48B-18E6-4937-A8EB-D9D0D5197F99}" type="presOf" srcId="{5FA0CA57-80F4-44C9-9F7A-657A98A4EDD1}" destId="{88920F89-23B8-496A-A94D-F0126B1A2181}" srcOrd="0" destOrd="0" presId="urn:microsoft.com/office/officeart/2005/8/layout/vProcess5"/>
    <dgm:cxn modelId="{1120B596-D547-4DA1-A98B-F28110F5AD5B}" type="presOf" srcId="{9BB3D724-2CD9-4FF9-99D2-BA057B9FAD75}" destId="{10A90BF3-A297-4BE2-B022-ED8C228B1CF8}" srcOrd="1" destOrd="0" presId="urn:microsoft.com/office/officeart/2005/8/layout/vProcess5"/>
    <dgm:cxn modelId="{05ABBC96-6F23-42C7-9F7D-F0A244BAB42D}" type="presOf" srcId="{F4EF7866-6981-4327-8C12-D96BE37A274B}" destId="{B535AE21-F9CA-4961-99EF-A672CB0D1BBF}" srcOrd="1" destOrd="0" presId="urn:microsoft.com/office/officeart/2005/8/layout/vProcess5"/>
    <dgm:cxn modelId="{4CA7E49A-371B-44A9-A07B-7A79F9676F74}" type="presOf" srcId="{9BB3D724-2CD9-4FF9-99D2-BA057B9FAD75}" destId="{E55D7482-B1E9-4E12-B6EE-1C9469D7A407}" srcOrd="0" destOrd="0" presId="urn:microsoft.com/office/officeart/2005/8/layout/vProcess5"/>
    <dgm:cxn modelId="{DADB90A0-DF4A-4ECA-AD77-0B434E1D09EA}" type="presOf" srcId="{7A63BB65-F7B7-4C44-9E08-7EA7F12AF5D1}" destId="{3082938E-23FE-42BA-B378-1F1936F6E927}" srcOrd="0" destOrd="0" presId="urn:microsoft.com/office/officeart/2005/8/layout/vProcess5"/>
    <dgm:cxn modelId="{352B50CE-DD26-44FD-BB73-77ECFF5E54BA}" type="presOf" srcId="{3B711275-AA5A-499B-93DF-1A8987E7F3F9}" destId="{ACC20B6E-BC6D-4970-8A6E-FEF7C7BA96AC}" srcOrd="0" destOrd="0" presId="urn:microsoft.com/office/officeart/2005/8/layout/vProcess5"/>
    <dgm:cxn modelId="{BC9424EC-EA6E-445B-84ED-5CAD83DCB60B}" type="presOf" srcId="{F4EF7866-6981-4327-8C12-D96BE37A274B}" destId="{DD7A1551-1D7D-4D7F-A68C-EC39DDA1BA5B}" srcOrd="0" destOrd="0" presId="urn:microsoft.com/office/officeart/2005/8/layout/vProcess5"/>
    <dgm:cxn modelId="{A5B053F8-A4AA-43C5-B9B6-23E13DEC619D}" srcId="{3383237F-26AA-4218-8B10-977AB9789A9B}" destId="{F4EF7866-6981-4327-8C12-D96BE37A274B}" srcOrd="1" destOrd="0" parTransId="{9D1BC2A2-68CD-41E1-870D-78D356275405}" sibTransId="{CFA0ABE9-7F9C-4F8A-850F-3D078467BDBC}"/>
    <dgm:cxn modelId="{C44F6FFA-16E9-4090-81E0-1B4F6B4769CA}" srcId="{3383237F-26AA-4218-8B10-977AB9789A9B}" destId="{6F793725-5243-4CF9-B432-D3DA6305EE9F}" srcOrd="2" destOrd="0" parTransId="{DA8859F2-88A7-47ED-AB3F-B2248D7025FB}" sibTransId="{7A63BB65-F7B7-4C44-9E08-7EA7F12AF5D1}"/>
    <dgm:cxn modelId="{A01FB584-A1EC-4ECE-A715-1BC379F2761F}" type="presParOf" srcId="{602A8021-4DA7-4010-9CA8-9B14454359BD}" destId="{7B5F2B2E-1492-4D2C-BEF5-0961E42B6E35}" srcOrd="0" destOrd="0" presId="urn:microsoft.com/office/officeart/2005/8/layout/vProcess5"/>
    <dgm:cxn modelId="{E923A82C-B80F-4286-B871-EEAB291CDD45}" type="presParOf" srcId="{602A8021-4DA7-4010-9CA8-9B14454359BD}" destId="{88920F89-23B8-496A-A94D-F0126B1A2181}" srcOrd="1" destOrd="0" presId="urn:microsoft.com/office/officeart/2005/8/layout/vProcess5"/>
    <dgm:cxn modelId="{E4C3556A-FF14-4CEA-989B-73D091316C1C}" type="presParOf" srcId="{602A8021-4DA7-4010-9CA8-9B14454359BD}" destId="{DD7A1551-1D7D-4D7F-A68C-EC39DDA1BA5B}" srcOrd="2" destOrd="0" presId="urn:microsoft.com/office/officeart/2005/8/layout/vProcess5"/>
    <dgm:cxn modelId="{A5EAF2DB-82D5-45E5-B207-FEEEF9685E2E}" type="presParOf" srcId="{602A8021-4DA7-4010-9CA8-9B14454359BD}" destId="{1CDABB0B-21AB-4BCC-84D4-0BAAED857A45}" srcOrd="3" destOrd="0" presId="urn:microsoft.com/office/officeart/2005/8/layout/vProcess5"/>
    <dgm:cxn modelId="{DE56B453-2EB5-452F-BDDD-4FF308B0A404}" type="presParOf" srcId="{602A8021-4DA7-4010-9CA8-9B14454359BD}" destId="{FDC9EB9A-A683-4CF1-B024-2FEE928700D2}" srcOrd="4" destOrd="0" presId="urn:microsoft.com/office/officeart/2005/8/layout/vProcess5"/>
    <dgm:cxn modelId="{DAC7DE5E-EC26-4EE7-87E8-9CF71BE74DBA}" type="presParOf" srcId="{602A8021-4DA7-4010-9CA8-9B14454359BD}" destId="{E55D7482-B1E9-4E12-B6EE-1C9469D7A407}" srcOrd="5" destOrd="0" presId="urn:microsoft.com/office/officeart/2005/8/layout/vProcess5"/>
    <dgm:cxn modelId="{89DF27B4-E05D-4974-9B11-016345F127A6}" type="presParOf" srcId="{602A8021-4DA7-4010-9CA8-9B14454359BD}" destId="{667304BC-A9C8-4033-9E93-CB2A4F064970}" srcOrd="6" destOrd="0" presId="urn:microsoft.com/office/officeart/2005/8/layout/vProcess5"/>
    <dgm:cxn modelId="{358B265E-2136-4307-B611-3126A33ADB18}" type="presParOf" srcId="{602A8021-4DA7-4010-9CA8-9B14454359BD}" destId="{07C054EF-27AC-4437-8B16-E78B8784E188}" srcOrd="7" destOrd="0" presId="urn:microsoft.com/office/officeart/2005/8/layout/vProcess5"/>
    <dgm:cxn modelId="{F3023EFC-8D88-4135-8469-CD4891253F22}" type="presParOf" srcId="{602A8021-4DA7-4010-9CA8-9B14454359BD}" destId="{3082938E-23FE-42BA-B378-1F1936F6E927}" srcOrd="8" destOrd="0" presId="urn:microsoft.com/office/officeart/2005/8/layout/vProcess5"/>
    <dgm:cxn modelId="{155107BE-4C00-41E3-B581-D1661826BB37}" type="presParOf" srcId="{602A8021-4DA7-4010-9CA8-9B14454359BD}" destId="{ACC20B6E-BC6D-4970-8A6E-FEF7C7BA96AC}" srcOrd="9" destOrd="0" presId="urn:microsoft.com/office/officeart/2005/8/layout/vProcess5"/>
    <dgm:cxn modelId="{0D8C35EA-74F1-42C4-A433-4CB841B51E99}" type="presParOf" srcId="{602A8021-4DA7-4010-9CA8-9B14454359BD}" destId="{2BF30065-E100-436B-A06C-B06DE0B5C183}" srcOrd="10" destOrd="0" presId="urn:microsoft.com/office/officeart/2005/8/layout/vProcess5"/>
    <dgm:cxn modelId="{3E2261DE-0766-4A92-B824-7A2285164DE6}" type="presParOf" srcId="{602A8021-4DA7-4010-9CA8-9B14454359BD}" destId="{B535AE21-F9CA-4961-99EF-A672CB0D1BBF}" srcOrd="11" destOrd="0" presId="urn:microsoft.com/office/officeart/2005/8/layout/vProcess5"/>
    <dgm:cxn modelId="{FB19EBD3-9494-4DFA-8B64-CA6209EC7F77}" type="presParOf" srcId="{602A8021-4DA7-4010-9CA8-9B14454359BD}" destId="{9038E171-DCE3-4D05-B426-5215FF5DAA69}" srcOrd="12" destOrd="0" presId="urn:microsoft.com/office/officeart/2005/8/layout/vProcess5"/>
    <dgm:cxn modelId="{AC9AAC31-D658-49B9-B3F9-23DC6B8285C7}" type="presParOf" srcId="{602A8021-4DA7-4010-9CA8-9B14454359BD}" destId="{F9227077-C03A-43E6-A50E-8ED4E63F5763}" srcOrd="13" destOrd="0" presId="urn:microsoft.com/office/officeart/2005/8/layout/vProcess5"/>
    <dgm:cxn modelId="{754320A8-DBCE-4EF0-B723-FD5D13A77318}" type="presParOf" srcId="{602A8021-4DA7-4010-9CA8-9B14454359BD}" destId="{10A90BF3-A297-4BE2-B022-ED8C228B1CF8}" srcOrd="14" destOrd="0" presId="urn:microsoft.com/office/officeart/2005/8/layout/v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20F89-23B8-496A-A94D-F0126B1A2181}">
      <dsp:nvSpPr>
        <dsp:cNvPr id="0" name=""/>
        <dsp:cNvSpPr/>
      </dsp:nvSpPr>
      <dsp:spPr>
        <a:xfrm>
          <a:off x="0" y="0"/>
          <a:ext cx="4224528" cy="71803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CA" altLang="en-US" sz="1700" kern="1200"/>
            <a:t>Masked-Modality Training</a:t>
          </a:r>
          <a:endParaRPr lang="zh-CN" altLang="en-US" sz="1700" kern="1200"/>
        </a:p>
      </dsp:txBody>
      <dsp:txXfrm>
        <a:off x="21030" y="21030"/>
        <a:ext cx="3365705" cy="675972"/>
      </dsp:txXfrm>
    </dsp:sp>
    <dsp:sp modelId="{DD7A1551-1D7D-4D7F-A68C-EC39DDA1BA5B}">
      <dsp:nvSpPr>
        <dsp:cNvPr id="0" name=""/>
        <dsp:cNvSpPr/>
      </dsp:nvSpPr>
      <dsp:spPr>
        <a:xfrm>
          <a:off x="315468" y="817759"/>
          <a:ext cx="4224528" cy="71803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altLang="zh-CN" sz="1700" kern="1200"/>
            <a:t>VAE Encoders </a:t>
          </a:r>
          <a:r>
            <a:rPr lang="en-CA" altLang="zh-CN" sz="1700" kern="1200"/>
            <a:t>(One per Modality)</a:t>
          </a:r>
          <a:endParaRPr lang="zh-CN" altLang="en-US" sz="1700" kern="1200"/>
        </a:p>
      </dsp:txBody>
      <dsp:txXfrm>
        <a:off x="336498" y="838789"/>
        <a:ext cx="3400278" cy="675972"/>
      </dsp:txXfrm>
    </dsp:sp>
    <dsp:sp modelId="{1CDABB0B-21AB-4BCC-84D4-0BAAED857A45}">
      <dsp:nvSpPr>
        <dsp:cNvPr id="0" name=""/>
        <dsp:cNvSpPr/>
      </dsp:nvSpPr>
      <dsp:spPr>
        <a:xfrm>
          <a:off x="630935" y="1635518"/>
          <a:ext cx="4224528" cy="71803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CA" altLang="zh-CN" sz="1700" kern="1200"/>
            <a:t>Latent Tokenization</a:t>
          </a:r>
          <a:endParaRPr lang="zh-CN" altLang="zh-CN" sz="1700" kern="1200"/>
        </a:p>
      </dsp:txBody>
      <dsp:txXfrm>
        <a:off x="651965" y="1656548"/>
        <a:ext cx="3400278" cy="675972"/>
      </dsp:txXfrm>
    </dsp:sp>
    <dsp:sp modelId="{FDC9EB9A-A683-4CF1-B024-2FEE928700D2}">
      <dsp:nvSpPr>
        <dsp:cNvPr id="0" name=""/>
        <dsp:cNvSpPr/>
      </dsp:nvSpPr>
      <dsp:spPr>
        <a:xfrm>
          <a:off x="946404" y="2453278"/>
          <a:ext cx="4224528" cy="71803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CA" altLang="en-US" sz="1700" kern="1200"/>
            <a:t>Cross-Omics Transformer</a:t>
          </a:r>
          <a:endParaRPr lang="zh-CN" altLang="en-US" sz="1700" kern="1200"/>
        </a:p>
      </dsp:txBody>
      <dsp:txXfrm>
        <a:off x="967434" y="2474308"/>
        <a:ext cx="3400278" cy="675972"/>
      </dsp:txXfrm>
    </dsp:sp>
    <dsp:sp modelId="{E55D7482-B1E9-4E12-B6EE-1C9469D7A407}">
      <dsp:nvSpPr>
        <dsp:cNvPr id="0" name=""/>
        <dsp:cNvSpPr/>
      </dsp:nvSpPr>
      <dsp:spPr>
        <a:xfrm>
          <a:off x="1261871" y="3271037"/>
          <a:ext cx="4224528" cy="71803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CA" altLang="en-US" sz="1700" kern="1200"/>
            <a:t>VAE Decoders (Generative Output)</a:t>
          </a:r>
          <a:endParaRPr lang="zh-CN" altLang="en-US" sz="1700" kern="1200"/>
        </a:p>
      </dsp:txBody>
      <dsp:txXfrm>
        <a:off x="1282901" y="3292067"/>
        <a:ext cx="3400278" cy="675972"/>
      </dsp:txXfrm>
    </dsp:sp>
    <dsp:sp modelId="{667304BC-A9C8-4033-9E93-CB2A4F064970}">
      <dsp:nvSpPr>
        <dsp:cNvPr id="0" name=""/>
        <dsp:cNvSpPr/>
      </dsp:nvSpPr>
      <dsp:spPr>
        <a:xfrm>
          <a:off x="3757806" y="524562"/>
          <a:ext cx="466721" cy="466721"/>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zh-CN" altLang="en-US" sz="1900" kern="1200"/>
        </a:p>
      </dsp:txBody>
      <dsp:txXfrm>
        <a:off x="3862818" y="524562"/>
        <a:ext cx="256697" cy="351208"/>
      </dsp:txXfrm>
    </dsp:sp>
    <dsp:sp modelId="{07C054EF-27AC-4437-8B16-E78B8784E188}">
      <dsp:nvSpPr>
        <dsp:cNvPr id="0" name=""/>
        <dsp:cNvSpPr/>
      </dsp:nvSpPr>
      <dsp:spPr>
        <a:xfrm>
          <a:off x="4073274" y="1342322"/>
          <a:ext cx="466721" cy="466721"/>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zh-CN" altLang="en-US" sz="1900" kern="1200"/>
        </a:p>
      </dsp:txBody>
      <dsp:txXfrm>
        <a:off x="4178286" y="1342322"/>
        <a:ext cx="256697" cy="351208"/>
      </dsp:txXfrm>
    </dsp:sp>
    <dsp:sp modelId="{3082938E-23FE-42BA-B378-1F1936F6E927}">
      <dsp:nvSpPr>
        <dsp:cNvPr id="0" name=""/>
        <dsp:cNvSpPr/>
      </dsp:nvSpPr>
      <dsp:spPr>
        <a:xfrm>
          <a:off x="4388742" y="2148114"/>
          <a:ext cx="466721" cy="466721"/>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zh-CN" altLang="en-US" sz="1900" kern="1200"/>
        </a:p>
      </dsp:txBody>
      <dsp:txXfrm>
        <a:off x="4493754" y="2148114"/>
        <a:ext cx="256697" cy="351208"/>
      </dsp:txXfrm>
    </dsp:sp>
    <dsp:sp modelId="{ACC20B6E-BC6D-4970-8A6E-FEF7C7BA96AC}">
      <dsp:nvSpPr>
        <dsp:cNvPr id="0" name=""/>
        <dsp:cNvSpPr/>
      </dsp:nvSpPr>
      <dsp:spPr>
        <a:xfrm>
          <a:off x="4704210" y="2973851"/>
          <a:ext cx="466721" cy="466721"/>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zh-CN" altLang="en-US" sz="1900" kern="1200"/>
        </a:p>
      </dsp:txBody>
      <dsp:txXfrm>
        <a:off x="4809222" y="2973851"/>
        <a:ext cx="256697" cy="351208"/>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53709-88A2-45A5-A69A-8929E93E0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4185</TotalTime>
  <Pages>15</Pages>
  <Words>7576</Words>
  <Characters>51823</Characters>
  <Application>Microsoft Office Word</Application>
  <DocSecurity>0</DocSecurity>
  <Lines>1036</Lines>
  <Paragraphs>571</Paragraphs>
  <ScaleCrop>false</ScaleCrop>
  <Company/>
  <LinksUpToDate>false</LinksUpToDate>
  <CharactersWithSpaces>58828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zliang16@student.ubc.ca</dc:creator>
  <cp:keywords/>
  <dc:description/>
  <cp:lastModifiedBy>zliang16@student.ubc.ca</cp:lastModifiedBy>
  <cp:revision>16</cp:revision>
  <dcterms:created xsi:type="dcterms:W3CDTF">2025-11-03T03:35:00Z</dcterms:created>
  <dcterms:modified xsi:type="dcterms:W3CDTF">2025-11-24T22:01:00Z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id="zAFZOM5a"/&gt;&lt;style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