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"https://academic.oup.com/bioinformatics/article/31/18/2989/241305"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https://academic.oup.com/bioinformatics/article/31/18/2989/241305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Diffusion maps for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high-dimensional single-cell analysis of differentiation data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Diffusion maps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n为细胞数量，G为每个细胞测量的基因数。表示测量的细胞集合为Ω</w:t>
      </w:r>
    </w:p>
    <w:p>
      <w:r>
        <w:rPr>
          <w:rFonts w:hint="eastAsia"/>
          <w:lang w:val="en-US" w:eastAsia="zh-CN"/>
        </w:rPr>
        <w:t>允许每个细胞X 在其被测量的位置范围x</w:t>
      </w:r>
      <w:r>
        <w:rPr>
          <w:rFonts w:ascii="MathJax_Main" w:hAnsi="MathJax_Main" w:eastAsia="MathJax_Main" w:cs="MathJax_Main"/>
          <w:i w:val="0"/>
          <w:caps w:val="0"/>
          <w:color w:val="2A2A2A"/>
          <w:spacing w:val="0"/>
          <w:sz w:val="22"/>
          <w:szCs w:val="22"/>
          <w:shd w:val="clear" w:fill="FFFFFF"/>
        </w:rPr>
        <w:t>∈</w:t>
      </w:r>
      <w:r>
        <w:rPr>
          <w:rFonts w:hint="eastAsia" w:ascii="MathJax_Main" w:hAnsi="MathJax_Main" w:eastAsia="宋体" w:cs="MathJax_Main"/>
          <w:i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MathJax_Main" w:hAnsi="MathJax_Main" w:eastAsia="宋体" w:cs="MathJax_Main"/>
          <w:i w:val="0"/>
          <w:caps w:val="0"/>
          <w:color w:val="2A2A2A"/>
          <w:spacing w:val="0"/>
          <w:sz w:val="22"/>
          <w:szCs w:val="22"/>
          <w:shd w:val="clear" w:fill="FFFFFF"/>
          <w:vertAlign w:val="superscript"/>
          <w:lang w:val="en-US" w:eastAsia="zh-CN"/>
        </w:rPr>
        <w:t>G</w:t>
      </w:r>
      <w:r>
        <w:rPr>
          <w:rFonts w:hint="eastAsia" w:ascii="MathJax_Main" w:hAnsi="MathJax_Main" w:eastAsia="宋体" w:cs="MathJax_Main"/>
          <w:i w:val="0"/>
          <w:caps w:val="0"/>
          <w:color w:val="2A2A2A"/>
          <w:spacing w:val="0"/>
          <w:sz w:val="22"/>
          <w:szCs w:val="22"/>
          <w:shd w:val="clear" w:fill="FFFFFF"/>
          <w:vertAlign w:val="baseline"/>
          <w:lang w:val="en-US" w:eastAsia="zh-CN"/>
        </w:rPr>
        <w:t>通过各方向相等的高斯波动函数扩散。</w:t>
      </w:r>
    </w:p>
    <w:p>
      <w:r>
        <w:drawing>
          <wp:inline distT="0" distB="0" distL="114300" distR="114300">
            <wp:extent cx="34956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)的标准化为</w:t>
      </w:r>
      <w:r>
        <w:drawing>
          <wp:inline distT="0" distB="0" distL="114300" distR="114300">
            <wp:extent cx="15240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高斯宽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σ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superscript"/>
          <w:lang w:val="en-US" w:eastAsia="zh-CN"/>
        </w:rPr>
        <w:t>2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  <w:t>确定每个细胞可以随机扩散的长度尺度。</w:t>
      </w:r>
    </w:p>
    <w:p>
      <w:pP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  <w:t>从细胞x到y的转换概率由连个波动函数Y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subscript"/>
          <w:lang w:val="en-US" w:eastAsia="zh-CN"/>
        </w:rPr>
        <w:t>x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  <w:t>和Y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subscript"/>
          <w:lang w:val="en-US" w:eastAsia="zh-CN"/>
        </w:rPr>
        <w:t>y</w:t>
      </w: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  <w:t>定义。</w:t>
      </w:r>
    </w:p>
    <w:p>
      <w:pP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MathJax_Math-italic" w:hAnsi="MathJax_Math-italic" w:eastAsia="宋体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 w:eastAsia="zh-CN"/>
        </w:rPr>
        <w:t>这种干扰产物是另一种高斯（所有前因都抵消了）</w:t>
      </w:r>
    </w:p>
    <w:p>
      <w:r>
        <w:drawing>
          <wp:inline distT="0" distB="0" distL="114300" distR="114300">
            <wp:extent cx="3752850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因此，可以构建表示在Ω中所有细胞对的n × n  Markovian transition probability matrix P </w:t>
      </w:r>
    </w:p>
    <w:p>
      <w:r>
        <w:drawing>
          <wp:inline distT="0" distB="0" distL="114300" distR="114300">
            <wp:extent cx="23907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5270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在每一个细胞位置上，Z(x)是分区函数，提供由σ定义的特定体积中x的邻居的数量的估计。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可以被解释为附近的细胞密度。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重新定义密度归一化转换概率矩阵</w:t>
      </w:r>
      <w:r>
        <w:rPr>
          <w:position w:val="-4"/>
        </w:rPr>
        <w:object>
          <v:shape id="_x0000_i1033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9">
            <o:LockedField>false</o:LockedField>
          </o:OLEObject>
        </w:objec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3190875" cy="771525"/>
            <wp:effectExtent l="0" t="0" r="952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1190625"/>
            <wp:effectExtent l="0" t="0" r="0" b="952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由于仅关系细胞之前转换概率，而不是细胞内局部密度，我们将</w:t>
      </w:r>
      <w:r>
        <w:rPr>
          <w:position w:val="-4"/>
        </w:rPr>
        <w:object>
          <v:shape id="_x0000_i1036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t>的对角线设置为0，并从分割函数</w:t>
      </w:r>
      <w:r>
        <w:rPr>
          <w:position w:val="-4"/>
        </w:rPr>
        <w:object>
          <v:shape id="_x0000_i1037" o:spt="75" alt="" type="#_x0000_t75" style="height:21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27" r:id="rId14">
            <o:LockedField>false</o:LockedField>
          </o:OLEObject>
        </w:object>
      </w:r>
      <w:r>
        <w:rPr>
          <w:rFonts w:hint="eastAsia"/>
          <w:lang w:val="en-US" w:eastAsia="zh-CN"/>
        </w:rPr>
        <w:t>的和中排除y=x 。</w:t>
      </w:r>
    </w:p>
    <w:p>
      <w:pPr>
        <w:rPr>
          <w:rFonts w:hint="eastAsia" w:ascii="MathJax_Main" w:hAnsi="MathJax_Main" w:eastAsia="宋体" w:cs="MathJax_Main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对于足够大的</w:t>
      </w:r>
      <w:r>
        <w:rPr>
          <w:rStyle w:val="6"/>
          <w:rFonts w:ascii="serif" w:hAnsi="serif" w:eastAsia="serif" w:cs="serif"/>
          <w:i/>
          <w:caps w:val="0"/>
          <w:color w:val="2A2A2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σ</w:t>
      </w:r>
      <w:r>
        <w:rPr>
          <w:rStyle w:val="6"/>
          <w:rFonts w:hint="eastAsia" w:ascii="serif" w:hAnsi="serif" w:eastAsia="宋体" w:cs="serif"/>
          <w:i/>
          <w:caps w:val="0"/>
          <w:color w:val="2A2A2A"/>
          <w:spacing w:val="0"/>
          <w:sz w:val="22"/>
          <w:szCs w:val="22"/>
          <w:bdr w:val="none" w:color="auto" w:sz="0" w:space="0"/>
          <w:shd w:val="clear" w:fill="FFFFFF"/>
          <w:vertAlign w:val="baseline"/>
          <w:lang w:eastAsia="zh-CN"/>
        </w:rPr>
        <w:t>，</w:t>
      </w:r>
      <w:r>
        <w:rPr>
          <w:rStyle w:val="6"/>
          <w:rFonts w:hint="eastAsia" w:ascii="serif" w:hAnsi="serif" w:eastAsia="宋体" w:cs="serif"/>
          <w:i/>
          <w:caps w:val="0"/>
          <w:color w:val="2A2A2A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/>
        </w:rPr>
        <w:t xml:space="preserve"> 矩阵</w:t>
      </w:r>
      <w:r>
        <w:rPr>
          <w:position w:val="-4"/>
        </w:rPr>
        <w:object>
          <v:shape id="_x0000_i1038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6">
            <o:LockedField>false</o:LockedField>
          </o:OLEObject>
        </w:object>
      </w:r>
      <w:r>
        <w:rPr>
          <w:rFonts w:hint="eastAsia"/>
          <w:lang w:val="en-US" w:eastAsia="zh-CN"/>
        </w:rPr>
        <w:t>定义一个在数据集上的遍历性的马尔科夫扩散过程（Markovian diffusion process），具有n个有序的特征值</w:t>
      </w:r>
      <w:r>
        <w:rPr>
          <w:rFonts w:ascii="MathJax_Math-italic" w:hAnsi="MathJax_Math-italic" w:eastAsia="MathJax_Math-italic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λ</w:t>
      </w:r>
      <w:r>
        <w:rPr>
          <w:rFonts w:ascii="MathJax_Main" w:hAnsi="MathJax_Main" w:eastAsia="MathJax_Main" w:cs="MathJax_Main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</w:rPr>
        <w:t>0</w:t>
      </w:r>
      <w:r>
        <w:rPr>
          <w:rFonts w:hint="default" w:ascii="MathJax_Main" w:hAnsi="MathJax_Main" w:eastAsia="MathJax_Main" w:cs="MathJax_Main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=1&gt;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λ</w:t>
      </w:r>
      <w:r>
        <w:rPr>
          <w:rFonts w:hint="default" w:ascii="MathJax_Main" w:hAnsi="MathJax_Main" w:eastAsia="MathJax_Main" w:cs="MathJax_Main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≥...≥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2A2A2A"/>
          <w:spacing w:val="0"/>
          <w:sz w:val="22"/>
          <w:szCs w:val="22"/>
          <w:u w:val="none"/>
          <w:bdr w:val="none" w:color="auto" w:sz="0" w:space="0"/>
          <w:shd w:val="clear" w:fill="FFFFFF"/>
        </w:rPr>
        <w:t>λ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MathJax_Main" w:hAnsi="MathJax_Main" w:eastAsia="宋体" w:cs="MathJax_Main"/>
          <w:i w:val="0"/>
          <w:caps w:val="0"/>
          <w:color w:val="2A2A2A"/>
          <w:spacing w:val="0"/>
          <w:sz w:val="15"/>
          <w:szCs w:val="15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position w:val="-4"/>
        </w:rPr>
        <w:object>
          <v:shape id="_x0000_i1039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9" DrawAspect="Content" ObjectID="_1468075729" r:id="rId17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>的t次方将呈现在扩散过程长度为t的细胞间的转移概率。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position w:val="-4"/>
        </w:rPr>
        <w:object>
          <v:shape id="_x0000_i1043" o:spt="75" type="#_x0000_t75" style="height:21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8">
            <o:LockedField>false</o:LockedField>
          </o:OLEObject>
        </w:object>
      </w:r>
      <w:bookmarkEnd w:id="1"/>
      <w:r>
        <w:rPr>
          <w:rFonts w:hint="eastAsia"/>
          <w:lang w:val="en-US" w:eastAsia="zh-CN"/>
        </w:rPr>
        <w:t>与</w:t>
      </w:r>
      <w:bookmarkStart w:id="2" w:name="OLE_LINK3"/>
      <w:r>
        <w:rPr>
          <w:position w:val="-4"/>
        </w:rPr>
        <w:object>
          <v:shape id="_x0000_i1041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0">
            <o:LockedField>false</o:LockedField>
          </o:OLEObject>
        </w:object>
      </w:r>
      <w:bookmarkEnd w:id="2"/>
      <w:r>
        <w:rPr>
          <w:rFonts w:hint="eastAsia"/>
          <w:lang w:val="en-US" w:eastAsia="zh-CN"/>
        </w:rPr>
        <w:t>具有相同的特征向量。转移概率可以表示如下：</w:t>
      </w:r>
    </w:p>
    <w:p>
      <w:r>
        <w:drawing>
          <wp:inline distT="0" distB="0" distL="114300" distR="114300">
            <wp:extent cx="2619375" cy="742950"/>
            <wp:effectExtent l="0" t="0" r="9525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每一个</w:t>
      </w:r>
      <w:r>
        <w:rPr>
          <w:position w:val="-4"/>
        </w:rPr>
        <w:object>
          <v:shape id="_x0000_i1044" o:spt="75" type="#_x0000_t75" style="height:21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4" DrawAspect="Content" ObjectID="_1468075732" r:id="rId22">
            <o:LockedField>false</o:LockedField>
          </o:OLEObject>
        </w:object>
      </w:r>
      <w:r>
        <w:rPr>
          <w:rFonts w:hint="eastAsia"/>
          <w:lang w:val="en-US" w:eastAsia="zh-CN"/>
        </w:rPr>
        <w:t>可以视为一个向量，p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(x,.)表示每个细胞x的代表特征。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通过计算特征空间中带权重的L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距离，细胞x与y之间的距离定义如下：</w:t>
      </w:r>
    </w:p>
    <w:p>
      <w:r>
        <w:drawing>
          <wp:inline distT="0" distB="0" distL="114300" distR="114300">
            <wp:extent cx="5000625" cy="1019175"/>
            <wp:effectExtent l="0" t="0" r="9525" b="9525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该扩散距离可以用</w:t>
      </w:r>
      <w:r>
        <w:rPr>
          <w:position w:val="-4"/>
        </w:rPr>
        <w:object>
          <v:shape id="_x0000_i1046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6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>的特征向量表示：</w:t>
      </w:r>
    </w:p>
    <w:p>
      <w:r>
        <w:drawing>
          <wp:inline distT="0" distB="0" distL="114300" distR="114300">
            <wp:extent cx="3228975" cy="800100"/>
            <wp:effectExtent l="0" t="0" r="9525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最大特征值λ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对应的特征向量ψ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是一个常量1。因此他仅对D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贡献0，并且从等式中的</w:t>
      </w:r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谱分解中排除。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这意味着，第一个特征向量空间中的单元欧几里得距离表示他们的扩散距离D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的近似值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此外，</w:t>
      </w:r>
      <w:r>
        <w:rPr>
          <w:position w:val="-4"/>
        </w:rPr>
        <w:object>
          <v:shape id="_x0000_i1048" o:spt="75" type="#_x0000_t75" style="height:2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6">
            <o:LockedField>false</o:LockedField>
          </o:OLEObject>
        </w:object>
      </w:r>
      <w:r>
        <w:rPr>
          <w:rFonts w:hint="default"/>
          <w:lang w:val="en-US" w:eastAsia="zh-CN"/>
        </w:rPr>
        <w:t>的特征值确定相应特征向量方向上的扩散系数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选择diffusion components(DCs)表示ψ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然后将马尔可夫过渡概率矩阵（DC1和DC2）的本征函数</w:t>
      </w: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Eigenfunction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用于低维表示和数据可视化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" w:name="_GoBack"/>
      <w:r>
        <w:drawing>
          <wp:inline distT="0" distB="0" distL="114300" distR="114300">
            <wp:extent cx="5267960" cy="2192020"/>
            <wp:effectExtent l="0" t="0" r="8890" b="1778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14F6A"/>
    <w:multiLevelType w:val="singleLevel"/>
    <w:tmpl w:val="8CC14F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A247C"/>
    <w:rsid w:val="0C942F0D"/>
    <w:rsid w:val="146B1D02"/>
    <w:rsid w:val="1CF277B1"/>
    <w:rsid w:val="1E726D3B"/>
    <w:rsid w:val="1F532ACD"/>
    <w:rsid w:val="1FDC2DDA"/>
    <w:rsid w:val="208B0100"/>
    <w:rsid w:val="25531C5A"/>
    <w:rsid w:val="278C2B9D"/>
    <w:rsid w:val="27D0377D"/>
    <w:rsid w:val="292B0876"/>
    <w:rsid w:val="2A6A1BDF"/>
    <w:rsid w:val="2AB917E7"/>
    <w:rsid w:val="34112B7C"/>
    <w:rsid w:val="373137AF"/>
    <w:rsid w:val="3ACB576A"/>
    <w:rsid w:val="43A5391F"/>
    <w:rsid w:val="48372117"/>
    <w:rsid w:val="4BF03520"/>
    <w:rsid w:val="4CFE3788"/>
    <w:rsid w:val="53A021E6"/>
    <w:rsid w:val="546F6BAA"/>
    <w:rsid w:val="56665DAD"/>
    <w:rsid w:val="58A901EA"/>
    <w:rsid w:val="5A4D54FA"/>
    <w:rsid w:val="623075C3"/>
    <w:rsid w:val="62D037C6"/>
    <w:rsid w:val="6A8763CC"/>
    <w:rsid w:val="6C442D57"/>
    <w:rsid w:val="6F9F1153"/>
    <w:rsid w:val="6FEC07F1"/>
    <w:rsid w:val="708B0D87"/>
    <w:rsid w:val="72DC704B"/>
    <w:rsid w:val="742E3869"/>
    <w:rsid w:val="76542654"/>
    <w:rsid w:val="77B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4.png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oleObject" Target="embeddings/oleObject8.bin"/><Relationship Id="rId21" Type="http://schemas.openxmlformats.org/officeDocument/2006/relationships/image" Target="media/image11.png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uuu</dc:creator>
  <cp:lastModifiedBy>真由理</cp:lastModifiedBy>
  <dcterms:modified xsi:type="dcterms:W3CDTF">2019-06-11T08:13:42Z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