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Index Rebalancing Analysis — User Manual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Execution Analytics Platform · Page 2 · Version 1.1 of 8 July 2026 (adds §3.7 Crowding Score &amp; Expected Move; trader-workflow features are covered in the companion Trader Features Guide)</w:t>
      </w:r>
    </w:p>
    <w:p>
      <w:pPr>
        <w:spacing w:after="120"/>
      </w:pPr>
      <w:r>
        <w:t xml:space="preserve">This manual explains how to use the </w:t>
      </w:r>
      <w:r>
        <w:rPr>
          <w:b/>
          <w:bCs/>
        </w:rPr>
        <w:t xml:space="preserve">Index Rebalancing Analysis</w:t>
      </w:r>
      <w:r>
        <w:t xml:space="preserve"> page of the Execution Analytics Platform, end to end, using a real MSCI index event as the running example: the MSCI Global Standard deletion of </w:t>
      </w:r>
      <w:r>
        <w:rPr>
          <w:b/>
          <w:bCs/>
        </w:rPr>
        <w:t xml:space="preserve">Vedanta (VEDL, NSE India)</w:t>
      </w:r>
      <w:r>
        <w:t xml:space="preserve">, announced 19 June 2026 and effective 25 June 2026, picked live from the app's own MSCI announcement feed. Every number shown was produced by the current build of the system.</w:t>
      </w:r>
    </w:p>
    <w:p>
      <w:pPr>
        <w:spacing w:after="120"/>
      </w:pPr>
      <w:r>
        <w:t xml:space="preserve">The page answers three questions for a single index constituent change: </w:t>
      </w:r>
      <w:r>
        <w:rPr>
          <w:i/>
          <w:iCs/>
        </w:rPr>
        <w:t xml:space="preserve">what happened to the stock's price and volume around the event</w:t>
      </w:r>
      <w:r>
        <w:t xml:space="preserve"> (event study), </w:t>
      </w:r>
      <w:r>
        <w:rPr>
          <w:i/>
          <w:iCs/>
        </w:rPr>
        <w:t xml:space="preserve">what that implies for execution costs</w:t>
      </w:r>
      <w:r>
        <w:t xml:space="preserve"> (execution-cost insights), and </w:t>
      </w:r>
      <w:r>
        <w:rPr>
          <w:i/>
          <w:iCs/>
        </w:rPr>
        <w:t xml:space="preserve">which execution strategy a client mandate should have used</w:t>
      </w:r>
      <w:r>
        <w:t xml:space="preserve"> (Agent 14 strategy simulator).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Quick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app and select </w:t>
      </w:r>
      <w:r>
        <w:rPr>
          <w:b/>
          <w:bCs/>
        </w:rPr>
        <w:t xml:space="preserve">“🔄 Index Rebalancing Analysis”</w:t>
      </w:r>
      <w:r>
        <w:t xml:space="preserve"> in the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</w:t>
      </w:r>
      <w:r>
        <w:rPr>
          <w:b/>
          <w:bCs/>
        </w:rPr>
        <w:t xml:space="preserve">“📡 Fetch / pick a real index change”</w:t>
      </w:r>
      <w:r>
        <w:t xml:space="preserve"> and click </w:t>
      </w:r>
      <w:r>
        <w:rPr>
          <w:b/>
          <w:bCs/>
        </w:rPr>
        <w:t xml:space="preserve">“🔄 Refresh now”</w:t>
      </w:r>
      <w:r>
        <w:t xml:space="preserve"> to pull live announcements from MSCI, FTSE Russell and S&amp;P DJI (Agent 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an event and click </w:t>
      </w:r>
      <w:r>
        <w:rPr>
          <w:b/>
          <w:bCs/>
        </w:rPr>
        <w:t xml:space="preserve">“⤵️ Use selected event”</w:t>
      </w:r>
      <w:r>
        <w:t xml:space="preserve"> — ticker, market, effective date and (when published) announcement date are filled in for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the </w:t>
      </w:r>
      <w:r>
        <w:rPr>
          <w:b/>
          <w:bCs/>
        </w:rPr>
        <w:t xml:space="preserve">Inputs</w:t>
      </w:r>
      <w:r>
        <w:t xml:space="preserve"> row (choose the index proxy yourself for MSCI events — §3.2), optionally fill the </w:t>
      </w:r>
      <w:r>
        <w:rPr>
          <w:b/>
          <w:bCs/>
        </w:rPr>
        <w:t xml:space="preserve">Execution-Cost Analysis Inputs</w:t>
      </w:r>
      <w:r>
        <w:t xml:space="preserve"> (§3.3), and click </w:t>
      </w:r>
      <w:r>
        <w:rPr>
          <w:b/>
          <w:bCs/>
        </w:rPr>
        <w:t xml:space="preserve">“▶ Run Event Study”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top-to-bottom: verdict banner → key-day summary → charts → execution-cost insights (incl. crowding score and expected move, §3.5/§3.7) → the Agent 14 strategy frontier and Trader Pack at the bottom.</w:t>
      </w:r>
    </w:p>
    <w:p>
      <w:pPr>
        <w:pStyle w:val="Heading1"/>
      </w:pPr>
      <w:r>
        <w:t xml:space="preserve">2. Prerequisites and Launching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Hosted: </w:t>
      </w:r>
      <w:r>
        <w:t xml:space="preserve">the app auto-deploys to Streamlit Cloud from the GitHub repo’s main branch — no local setup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Local: </w:t>
      </w: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  <w:r>
        <w:t xml:space="preserve">  then  </w:t>
      </w:r>
      <w:r>
        <w:rPr>
          <w:rFonts w:ascii="Consolas" w:cs="Consolas" w:eastAsia="Consolas" w:hAnsi="Consolas"/>
          <w:sz w:val="20"/>
          <w:szCs w:val="20"/>
        </w:rPr>
        <w:t xml:space="preserve">streamlit run app.py</w:t>
      </w:r>
      <w:r>
        <w:t xml:space="preserve">. Python 3.10+.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Data: </w:t>
      </w:r>
      <w:r>
        <w:t xml:space="preserve">all market data comes free from Yahoo Finance (yfinance) — daily bars for the event study, 5-minute bars for the closing-auction analysis. No API keys. Yahoo rate-limits aggressive use; the page is designed for a handful of fetches per session.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Provider feeds: </w:t>
      </w:r>
      <w:r>
        <w:t xml:space="preserve">Agent 12 reads the providers’ public announcement pages (MSCI structured feed; FTSE Russell press releases; S&amp;P DJI PR Newswire). These are meant for manual reading — refresh on demand, do not poll.</w:t>
      </w:r>
    </w:p>
    <w:p>
      <w:pPr>
        <w:pStyle w:val="Heading1"/>
      </w:pPr>
      <w:r>
        <w:t xml:space="preserve">3. The Page, Section by Section</w:t>
      </w:r>
    </w:p>
    <w:p>
      <w:pPr>
        <w:pStyle w:val="Heading2"/>
      </w:pPr>
      <w:r>
        <w:t xml:space="preserve">3.1 Agent 12 — Latest Index Changes</w:t>
      </w:r>
    </w:p>
    <w:p>
      <w:pPr>
        <w:spacing w:after="120"/>
      </w:pPr>
      <w:r>
        <w:t xml:space="preserve">The expander at the top fetches real constituent adds/deletes so you don't have to type event details by hand. On 8 July 2026 the MSCI feed returned, among others: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150"/>
        <w:gridCol w:w="1500"/>
        <w:gridCol w:w="1400"/>
        <w:gridCol w:w="121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Effective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Announced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HONEYWELL AEROSPACE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Spin-off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SPACE EXPL TECH CORP A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2026-06-12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IPO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VEDANTA (DETACHED)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2026-06-19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Spin-off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BMW VORZUG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1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Conversion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Choosing a good example event. </w:t>
      </w:r>
      <w:r>
        <w:t xml:space="preserve">IPO additions (SpaceX) and freshly spun-off lines (Honeywell Aerospace) have almost no price history, so the 60-day estimation window fails with “Fewer than 20 trading days in estimation window.” Prefer events on stocks with a long history — the Vedanta deletion is used throughout this manual. Events in unsupported markets (e.g. Germany) display but cannot be auto-run.</w:t>
      </w:r>
    </w:p>
    <w:p>
      <w:pPr>
        <w:spacing w:after="120"/>
      </w:pPr>
      <w:r>
        <w:rPr>
          <w:b/>
          <w:bCs/>
        </w:rPr>
        <w:t xml:space="preserve">“Use selected event”. </w:t>
      </w:r>
      <w:r>
        <w:t xml:space="preserve">Fills the market, effective date, announcement date, ticker (looked up via Yahoo symbol search when the provider doesn’t publish tickers — MSCI and FTSE don’t), and pre-selects the trade side in Agent 14 (Delete → Sell). Two things to check afterwards: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auto-resolved ticker. Symbol lookup is best-effort; for Vedanta it resolves to </w:t>
      </w:r>
      <w:r>
        <w:rPr>
          <w:rFonts w:ascii="Consolas" w:cs="Consolas" w:eastAsia="Consolas" w:hAnsi="Consolas"/>
          <w:sz w:val="20"/>
          <w:szCs w:val="20"/>
        </w:rPr>
        <w:t xml:space="preserve">VEDL</w:t>
      </w:r>
      <w:r>
        <w:t xml:space="preserve"> — correct — but always eyeball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Index dropdown is NOT auto-set for MSCI events. </w:t>
      </w:r>
      <w:r>
        <w:t xml:space="preserve">MSCI announcements carry the family name “MSCI Global Standard”, which is not one of the app’s index proxies, so pick the benchmark proxy yourself (§3.2). FTSE and S&amp;P events with recognized index names auto-select.</w:t>
      </w:r>
    </w:p>
    <w:p>
      <w:pPr>
        <w:spacing w:after="120"/>
      </w:pPr>
      <w:r>
        <w:rPr>
          <w:b/>
          <w:bCs/>
        </w:rPr>
        <w:t xml:space="preserve">Review calendar tab. </w:t>
      </w:r>
      <w:r>
        <w:t xml:space="preserve">Approximate next review dates per provider from their published cadence rules (MSCI reviews Feb/May/Aug/Nov, effective the last business day; FTSE and S&amp;P quarterly Mar/Jun/Sep/Dec). Use it to anticipate the next wave; always confirm against the provider notice.</w:t>
      </w:r>
    </w:p>
    <w:p>
      <w:pPr>
        <w:pStyle w:val="Heading2"/>
      </w:pPr>
      <w:r>
        <w:t xml:space="preserve">3.2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Vedanta example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Benchmark proxy used to estimate the market model (α, β) — NOT necessarily the index doing the rebalancing. Pick the best market proxy for the stock.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NIFTY 50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 the stock trades on; sets the Yahoo ticker suffix and market metadata.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India (NSE)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Rebalancing Effective Date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date the change takes effect (T). Snapped to the nearest trading day at or before the date you enter.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Window (±days)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Trading days analyzed on each side of T (5–20).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Constituent Ticker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ticker without suffix (the app appends it), e.g. 2330 for TSMC, VEDL for Vedanta.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VEDL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A note on the index proxy. </w:t>
      </w:r>
      <w:r>
        <w:t xml:space="preserve">For an MSCI event there is no free real-time “MSCI Global Standard” series, so the app uses the best available market proxy for beta estimation (here NIFTY 50 via ^NSEI). This is a market-model abnormal-return study; the proxy needs to explain the stock’s systematic moves, not replicate the MSCI index.</w:t>
      </w:r>
    </w:p>
    <w:p>
      <w:pPr>
        <w:pStyle w:val="Heading2"/>
      </w:pPr>
      <w:r>
        <w:t xml:space="preserve">3.3 Execution-Cost Analysis Inputs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60"/>
        <w:gridCol w:w="26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Vedanta example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Execution Objective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recommendation logic: Index Tracker (must match the closing print) vs Cost-Minimizing (free to trade opportunistically).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shown in §4.3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Announcement date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Drift decomposition (§3.5), the crowding score (§3.7), and Agent 14’s default announcement day.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2026-06-19 (from Agent 12)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weight change (%)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Flow-to-trade estimate: notional = weight change × tracked AUM.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 (illustrative)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AUM tracking this index ($B)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flow-to-trade estimate.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 (illustrative)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 market cap ($B, optional)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expected-move calculator’s flow-multiplier band (§3.7). Leave 0 for the sqrt-law band only.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 (illustrative)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Short-interest change into event (%, optional)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Crowding score component (§3.7). Exchange short-interest data lags ~2 weeks; leave 0 if unknown.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 (not used)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</w:rPr>
        <w:t xml:space="preserve">Weight change, tracked AUM and float market cap are user research inputs — the app cannot know them from free data. Example values are illustrative, not Vedanta’s actual figures.</w:t>
      </w:r>
    </w:p>
    <w:p>
      <w:pPr>
        <w:pStyle w:val="Heading2"/>
      </w:pPr>
      <w:r>
        <w:t xml:space="preserve">3.4 Running the Event Study — What You Get</w:t>
      </w:r>
    </w:p>
    <w:p>
      <w:pPr>
        <w:spacing w:after="120"/>
      </w:pPr>
      <w:r>
        <w:t xml:space="preserve">Clicking </w:t>
      </w:r>
      <w:r>
        <w:rPr>
          <w:b/>
          <w:bCs/>
        </w:rPr>
        <w:t xml:space="preserve">“▶ Run Event Study”</w:t>
      </w:r>
      <w:r>
        <w:t xml:space="preserve"> fetches ~6 months of daily bars for stock and proxy, estimates the market model on trading days [T−70, T−11] (≈60 observations, minimum 20), and computes abnormal returns over the event window: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AR(t) = R_stock(t) − (α + β·R_index(t))</w:t>
      </w:r>
      <w:r>
        <w:t xml:space="preserve">   and   </w:t>
      </w:r>
      <w:r>
        <w:rPr>
          <w:rFonts w:ascii="Consolas" w:cs="Consolas" w:eastAsia="Consolas" w:hAnsi="Consolas"/>
          <w:sz w:val="20"/>
          <w:szCs w:val="20"/>
        </w:rPr>
        <w:t xml:space="preserve">CAR = cumulative sum of 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Abnormal volume</w:t>
      </w:r>
      <w:r>
        <w:t xml:space="preserve"> = day volume ÷ average estimation-window volume; bars above 1.5× highlight orange.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Indexed price</w:t>
      </w:r>
      <w:r>
        <w:t xml:space="preserve"> = close rebased to 100 at T.</w:t>
      </w:r>
    </w:p>
    <w:p>
      <w:pPr>
        <w:spacing w:after="120"/>
      </w:pPr>
      <w:r>
        <w:t xml:space="preserve">The first thing rendered is the </w:t>
      </w:r>
      <w:r>
        <w:rPr>
          <w:b/>
          <w:bCs/>
        </w:rPr>
        <w:t xml:space="preserve">trader verdict banner</w:t>
      </w:r>
      <w:r>
        <w:t xml:space="preserve"> (side, size, recommended strategy, cost, tracking, auction traffic-light — see the Trader Features Guide). Below it, for Vedanta: </w:t>
      </w:r>
      <w:r>
        <w:rPr>
          <w:rFonts w:ascii="Consolas" w:cs="Consolas" w:eastAsia="Consolas" w:hAnsi="Consolas"/>
          <w:sz w:val="20"/>
          <w:szCs w:val="20"/>
        </w:rPr>
        <w:t xml:space="preserve">α = −0.00696, β = 1.437</w:t>
      </w:r>
      <w:r>
        <w:t xml:space="preserve">, T snapped to 2026-06-25, and the key-day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 (%)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Ab. Volume (x)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(idx)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T−10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+2.90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111.5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T−5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+0.65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111.9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T−1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−3.33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103.3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T+0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−6.06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1.44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100.0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T+1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−0.65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2.12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104.1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T+5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−1.24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102.5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How to read it. </w:t>
      </w:r>
      <w:r>
        <w:t xml:space="preserve">The classic deletion signature, mirrored: the stock underperforms its beta-adjusted benchmark into the effective date (CAR −6.06% at T as trackers sell), volume swells around T (1.44× on T, 2.12× on T+1), and the price snaps back after the event (CAR recovers 5.4 points by T+1) — temporary price pressure, not new information. The three chart tabs show the same data graphically; an addition shows the mirror image.</w:t>
      </w:r>
    </w:p>
    <w:p>
      <w:pPr>
        <w:pStyle w:val="Heading2"/>
      </w:pPr>
      <w:r>
        <w:t xml:space="preserve">3.5 Execution-Cost Insights</w:t>
      </w:r>
    </w:p>
    <w:p>
      <w:pPr>
        <w:spacing w:after="120"/>
      </w:pPr>
      <w:r>
        <w:t xml:space="preserve">Converts the event study into execution decision inputs. Each panel degrades gracefully — if something can’t be computed, it says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60"/>
        <w:gridCol w:w="31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Vedanta result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 Auction Concentration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 of T’s volume in the final ~5% of 5-minute bars vs nearby normal days. Only for T within ~59 days (yfinance intraday retention).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0.9× (9.6% on T vs 11.2% baseline, 14 comparison days) — the close did NOT absorb unusual size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Post-Event Reversal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Pre-event run-up (T−5→T) vs post-event move (T→T+5); classifies Transient (≥50% given back), Partial (≥15%), Permanent, or Momentum.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Run-up −6.71%, post-move +4.82%, reversal fraction 0.72 → “Transient — mostly reverses”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Pre-Announcement vs Pre-Effective Drift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Splits the pre-T move at the announcement date: how much happened after the market knew.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−2.33% before announcement, −6.63% after; 74% after the announcement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Flow-to-Trade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Passive shares that must trade: weight change × tracked AUM ÷ price, as % of ADV.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≈54,855 sh ($15.0M, 0.2% of ADV) — from illustrative inputs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 (η) Calibration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Backs the sqrt-law impact coefficient out of the T−1→T+1 CAR shock and the flow estimate.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Implied η ≈ 6.72 vs baseline 0.30 — single-event, order-of-magnitude only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Crowding Score &amp; Expected Move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§3.7 — anticipatory-arbitrage proxies and pre-event move bands.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13/100 · 12 bps sqrt-law / 38–100 bps multiplier band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The recommendation. </w:t>
      </w:r>
      <w:r>
        <w:t xml:space="preserve">Rule-based, objective-conditioned: </w:t>
      </w:r>
      <w:r>
        <w:rPr>
          <w:b/>
          <w:bCs/>
        </w:rPr>
        <w:t xml:space="preserve">Index Tracker → MOC</w:t>
      </w:r>
      <w:r>
        <w:t xml:space="preserve"> always (the concentration panel warns if the auction looked thin); </w:t>
      </w:r>
      <w:r>
        <w:rPr>
          <w:b/>
          <w:bCs/>
        </w:rPr>
        <w:t xml:space="preserve">Cost-Minimizing</w:t>
      </w:r>
      <w:r>
        <w:t xml:space="preserve"> → STEALTH on transient/partial reversal ≥ 0.30 (the Vedanta case), LIQ when ≥60% of the move came post-announcement, else IS. Every run prints the basket-crowding caveat and the event-library context line (§3.7).</w:t>
      </w:r>
    </w:p>
    <w:p>
      <w:pPr>
        <w:pStyle w:val="Heading2"/>
      </w:pPr>
      <w:r>
        <w:t xml:space="preserve">3.6 Agent 14 — Best-Execution Strategy Simulator</w:t>
      </w:r>
    </w:p>
    <w:p>
      <w:pPr>
        <w:spacing w:after="120"/>
      </w:pPr>
      <w:r>
        <w:t xml:space="preserve">Simulates four literature-anchored strategies on the event’s </w:t>
      </w:r>
      <w:r>
        <w:rPr>
          <w:i/>
          <w:iCs/>
        </w:rPr>
        <w:t xml:space="preserve">actual</w:t>
      </w:r>
      <w:r>
        <w:t xml:space="preserve"> daily path: S1 Tracker (100% MOC — Petajisto), S2 Pre-position (Madhavan), S3 Post-effective (Harris-Gurel reversal capture), S4 Announcement-anchored (the “index game”; Greenwood-Sammon show its alpha has compressed). Controls: side (pre-set from the loaded event), order size (%ADV — tip: use the flow estimate), S2/S3 fractions, announcement day, post-effective horizon, auction share. Vedanta (Sell 5% ADV, announcement T−4):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1700"/>
        <w:gridCol w:w="1400"/>
        <w:gridCol w:w="146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vs decision (bps)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|Tracking| (bps)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Auction %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impact (bps)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 Tracker (100% MOC)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1052.7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157.8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S2 Pre-position (50%)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696.0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290.3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67.8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S3 Post-effective (50%)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877.2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91.1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66.5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S4 Announcement-anchored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535.2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431.2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41.8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Lower-left dominates the frontier scatter. S1 is the zero-tracking corner (its auction fill IS the print) but paid 1,053 bps of price pressure and drew an auction-stress warning (~35% of estimated auction volume). S4 is the cost corner at 431 bps of benchmark risk. Tracker mandate → S1; cost-minimizer → S4, and the +598 bps realized post-move validated post-effective completion. Below the frontier, the </w:t>
      </w:r>
      <w:r>
        <w:rPr>
          <w:b/>
          <w:bCs/>
        </w:rPr>
        <w:t xml:space="preserve">Trader Pack</w:t>
      </w:r>
      <w:r>
        <w:t xml:space="preserve"> renders the trade card, schedule CSV export and conditional playbook — full walkthrough in the Trader Features Guide.</w:t>
      </w:r>
    </w:p>
    <w:p>
      <w:pPr>
        <w:pStyle w:val="Heading2"/>
      </w:pPr>
      <w:r>
        <w:t xml:space="preserve">3.7 Crowding Score &amp; Expected Move (new in v1.1)</w:t>
      </w:r>
    </w:p>
    <w:p>
      <w:pPr>
        <w:spacing w:after="120"/>
      </w:pPr>
      <w:r>
        <w:t xml:space="preserve">These two panels appear side-by-side in the Execution-Cost Insights section, under the crowding caveat. They automate the two most decision-relevant findings in the modern rebalancing literature: index-arb crowding (the trade can be over-anticipated — the Dec-2024 Apollo S&amp;P add lost money announcement→effective for arbitrageurs) and flow-based move calibration (Gabaix-Koijen inelastic-markets multipliers).</w:t>
      </w:r>
    </w:p>
    <w:p>
      <w:pPr>
        <w:spacing w:after="120"/>
      </w:pPr>
      <w:r>
        <w:rPr>
          <w:b/>
          <w:bCs/>
        </w:rPr>
        <w:t xml:space="preserve">Crowding Score (0–100, LOW / MODERATE / HIGH). </w:t>
      </w:r>
      <w:r>
        <w:t xml:space="preserve">Averages up to three proxies, each shown with its value: the share of the pre-event move that happened BEFORE the announcement (predictable changes get front-run early), pre-announcement abnormal volume, and — if you enter it in §3.3 — the reported short-interest change into the event. Vedanta: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LOW · 13/100</w:t>
      </w:r>
      <w:r>
        <w:t xml:space="preserve">  — 26% of the move came pre-announcement; pre-announcement volume ran 0.74× normal.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Insight shown: “Little sign of anticipatory positioning: the classic pre-position playbook (S2/S4) still has room, and the close will carry the flow.” A HIGH score flips the advice toward S3/patience — expect the pop spent and a larger reversal — and automatically appends a step to the conditional playbook.</w:t>
      </w:r>
    </w:p>
    <w:p>
      <w:pPr>
        <w:spacing w:after="120"/>
      </w:pPr>
      <w:r>
        <w:rPr>
          <w:b/>
          <w:bCs/>
        </w:rPr>
        <w:t xml:space="preserve">How to use it: </w:t>
      </w:r>
      <w:r>
        <w:t xml:space="preserve">run the study in the days BEFORE the effective date (the score needs the announcement date from §3.3). LOW → pre-positioning still has edge; HIGH → don’t join the crowd, plan for the reversal. It is a proxy score, not a positioning feed — the panel always lists which components fed it.</w:t>
      </w:r>
    </w:p>
    <w:p>
      <w:pPr>
        <w:spacing w:after="120"/>
      </w:pPr>
      <w:r>
        <w:rPr>
          <w:b/>
          <w:bCs/>
        </w:rPr>
        <w:t xml:space="preserve">Expected Move. </w:t>
      </w:r>
      <w:r>
        <w:t xml:space="preserve">Turns the flow estimate into a pre-event move band, two ways: a </w:t>
      </w:r>
      <w:r>
        <w:rPr>
          <w:b/>
          <w:bCs/>
        </w:rPr>
        <w:t xml:space="preserve">sqrt-law band</w:t>
      </w:r>
      <w:r>
        <w:t xml:space="preserve"> (η × σ × √(flow/ADV)), from the baseline η = 0.30 up to your event library’s median implied η once 3+ events are recorded; and a </w:t>
      </w:r>
      <w:r>
        <w:rPr>
          <w:b/>
          <w:bCs/>
        </w:rPr>
        <w:t xml:space="preserve">flow-multiplier band</w:t>
      </w:r>
      <w:r>
        <w:t xml:space="preserve"> (M = 3–8 × flow as % of float market cap — enter float cap in §3.3). Vedanta with illustrative inputs ($15M flow, $12B float cap):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Sqrt-law: 12 bps · Multiplier band: 38–100 bps</w:t>
      </w:r>
      <w:r>
        <w:t xml:space="preserve">  — tiny, because the illustrative flow is only 0.2% of ADV.</w:t>
      </w:r>
    </w:p>
    <w:p>
      <w:pPr>
        <w:spacing w:after="120"/>
      </w:pPr>
      <w:r>
        <w:rPr>
          <w:b/>
          <w:bCs/>
        </w:rPr>
        <w:t xml:space="preserve">How to read it: </w:t>
      </w:r>
      <w:r>
        <w:t xml:space="preserve">if the realized move into T runs ABOVE the bands, the price contains crowding on top of the mechanical flow (deletion-side Vedanta moved −6.7% — far beyond the band — telling you the move was crowd/pressure-driven, consistent with its 72% reversal). Well below the bands → the market absorbed the flow and capacity remains. Both calibrations and their sources are printed with the numbers; the multiplier range is the published Gabaix-Koijen 3–8.</w:t>
      </w:r>
    </w:p>
    <w:p>
      <w:pPr>
        <w:pStyle w:val="Heading1"/>
      </w:pPr>
      <w:r>
        <w:t xml:space="preserve">4. The MSCI Walkthrough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was done / observed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Fetch (Agent 12)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pulled 8 live MSCI announcements; picked “Delete · VEDANTA · eff 2026-06-25”; ticker auto-resolved to VEDL, market India (NSE), announcement 2026-06-19, side pre-set to Sell.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Inputs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 proxy NIFTY 50 (manual pick — MSCI family name isn’t a proxy), window ±10; illustrative 0.05% weight / $30B AUM / $12B float cap.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Event study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Verdict banner first; α −0.00696, β 1.437; CAR −6.06% at T; volume 1.44×/2.12× on T/T+1; price snapped back +4.1% on T+1.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Insights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Reversal Transient (0.72). Drift: 74% post-announcement. Crowding LOW (13/100). Expected move 12 bps sqrt / 38–100 bps multiplier — realized −6.7% ⇒ pressure-driven. Recommendation: MOC (tracker) / STEALTH (cost-minimizer).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Agent 14 (Sell 5% ADV)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S1 1052.7 bps cost, 0 tracking; S4 535.2 bps cost, 431 bps tracking. Tracker → S1; cost-minimizer → S4; +598 bps post-move validated waiting. Trader Pack: card, schedules CSV, playbook.</w:t>
            </w:r>
          </w:p>
        </w:tc>
      </w:tr>
    </w:tbl>
    <w:p>
      <w:pPr>
        <w:pStyle w:val="Heading1"/>
      </w:pPr>
      <w:r>
        <w:t xml:space="preserve">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“No data returned for &lt;ticker&gt;”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Wrong ticker/market pairing. Enter the base ticker only (no suffix) and the correct market — the app builds the Yahoo symbol.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“Fewer than 20 trading days in estimation window”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stock is too new (IPO/spin-off) or the date is too early in its history. Pick an event on a seasoned stock.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“Rebalancing date precedes all available data”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effective date is before the stock’s first trading day — check the date.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Closing-auction panel says intraday unavailable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yfinance keeps only ~59 days of 5-minute bars; the panel works only for recent events. Expected for older case studies.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Drift panel “announcement falls before the event window”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Widen the event window slider so the announcement day is inside it.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Crowding Score shows “Needs an announcement date…”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 “I know the announcement date” in §3.3 and enter it (Agent 12 fills it automatically when published), or enter a short-interest change.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 Move shows only the sqrt-law number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 float market cap in §3.3 for the multiplier band; the library η band appears after 3+ recorded events.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Announcement/post-effective sliders replaced by fixed captions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event window has no pre-event or post-event days (very recent or future effective date). The engine still runs; S3 is skipped when no post-event history exists yet.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Empty or stale Agent 12 table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Refresh now; provider pages occasionally fail independently — errors show per provider.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Yahoo rate-limit errors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Too many fetches in a short period. Wait a few minutes; keep runs to a handful per session.</w:t>
            </w:r>
          </w:p>
        </w:tc>
      </w:tr>
    </w:tbl>
    <w:p>
      <w:pPr>
        <w:pStyle w:val="Heading1"/>
      </w:pPr>
      <w:r>
        <w:t xml:space="preserve">6. Honest Boundaries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Free daily data; auction behavior approximated from final 5-minute bars, not real auction feeds; no real-time auction-imbalance (NOII-style)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constituent-change database — events come from providers’ public pages or your inputs; index weights, tracked AUM and float caps are your research inputs; MSCI’s official free-float factors are proprietary.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Single-name, ex-post case studies. Basket-level crowding on reconstitution days can push realized costs above every estimate here. The crowding score is a proxy, not a positioning feed; short-interest data lags ~2 weeks.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market model is OLS on ~60 daily observations; corporate actions inside the estimation window (as in the Vedanta demerger) distort α, β and σ. Check the estimation window when numbers look extreme.</w:t>
      </w:r>
    </w:p>
    <w:p>
      <w:pPr>
        <w:pStyle w:val="Heading1"/>
      </w:pPr>
      <w:r>
        <w:t xml:space="preserve">Appendix A — Fixes Made While Preparing This Manual (8 Jul 2026)</w:t>
      </w:r>
    </w:p>
    <w:p>
      <w:pPr>
        <w:spacing w:after="120"/>
      </w:pPr>
      <w:r>
        <w:t xml:space="preserve">Walking this exact workflow surfaced four bugs, all fixed and covered by tests: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 artifact removed (agents/rebalancing_event_study.py). </w:t>
      </w:r>
      <w:r>
        <w:t xml:space="preserve">The first event-window day’s return was zero-filled, injecting a spurious abnormal return of −α that shifted the entire CAR curve. Returns now use one extra leading trading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S1 tracking-difference convention (agents/agent14_rebalance_strategist.py). </w:t>
      </w:r>
      <w:r>
        <w:t xml:space="preserve">With nonzero impact, S1’s auction fill was compared against an unimpacted close, showing ~158 bps of “tracking” on a 100% MOC order and mis-recommending S3 to tracker mandates. Auction fills now carry zero tracking by construction; impact still counts in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Sliders crashed on recent/future effective dates (app.py). </w:t>
      </w:r>
      <w:r>
        <w:t xml:space="preserve">With no post-event history the post-effective and announcement sliders hit Streamlit’s min&lt;max requirement. Both now degrade to fixed values with captions; S3 is skipped cleanly.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Key-day summary formatting (app.py). </w:t>
      </w:r>
      <w:r>
        <w:t xml:space="preserve">A Unicode mismatch (“×” vs “x”) left the Ab. Volume column unformatted. Keys aligned.</w:t>
      </w:r>
    </w:p>
    <w:p>
      <w:pPr>
        <w:spacing w:after="120"/>
      </w:pPr>
      <w:r>
        <w:t xml:space="preserve">Also repaired: a corrupted git index blocking commits, and a stray corrupted committed line in tests/test_sell_side.py. v1.1 adds the Crowding Score and Expected Move panels (§3.7) with 6 new tests; suite: 142 passed.</w:t>
      </w:r>
    </w:p>
    <w:p>
      <w:pPr>
        <w:pStyle w:val="Heading1"/>
      </w:pPr>
      <w:r>
        <w:t xml:space="preserve">Appendix B — Method 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Harris &amp; Gurel (1986); Shleifer (1986) — price pressure and reversal around index changes.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Madhavan (2003) — the Russell reconstitution and advance acquisition.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Chen, Noronha &amp; Singal (2004) — adds/deletes asymmetry.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Petajisto (2011) — the index premium and turnover drag on trackers.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Gabaix &amp; Koijen (2021) — the inelastic markets hypothesis; flow multipliers 3–8 (drives the Expected Move band).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Greenwood &amp; Sammon (JF 2025) — the disappearing index effect; announcement→effective gaps; predictability → anticipatory arbitrage (drives the Crowding Score design).</w:t>
      </w:r>
    </w:p>
    <w:p>
      <w:pPr>
        <w:spacing w:after="120"/>
      </w:pPr>
      <w:r>
        <w:rPr>
          <w:i/>
          <w:iCs/>
        </w:rPr>
        <w:t xml:space="preserve">Full evidence base and automation roadmap: docs/INDEX_REBALANCE_RESEARCH.md and docs/REBALANCE_RESEARCH_AUTOMATION.md in the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2"/>
      </w:pBdr>
      <w:tabs>
        <w:tab w:val="right" w:pos="9026"/>
      </w:tabs>
      <w:spacing w:after="0"/>
    </w:pPr>
    <w:r>
      <w:rPr>
        <w:color w:val="888888"/>
        <w:sz w:val="18"/>
        <w:szCs w:val="18"/>
      </w:rPr>
      <w:t xml:space="preserve">Execution Analytics Platform — Index Rebalancing User Manual v1.1</w:t>
    </w:r>
    <w:r>
      <w:rPr>
        <w:color w:val="888888"/>
        <w:sz w:val="18"/>
        <w:szCs w:val="18"/>
      </w:rPr>
      <w:t xml:space="preserve">	8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2026-07-08T05:54:45.997Z</dcterms:created>
  <dcterms:modified xsi:type="dcterms:W3CDTF">2026-07-08T05:54:45.998Z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