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Trader Features Guide — Index Rebalancing Page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Execution Analytics Platform · added 8 July 2026 · companion to the Index Rebalancing User Manual</w:t>
      </w:r>
    </w:p>
    <w:p>
      <w:pPr>
        <w:spacing w:after="120"/>
      </w:pPr>
      <w:r>
        <w:t xml:space="preserve">Page 2 now serves two users. The analyst layer (event study, charts, insight panels, citations) is unchanged. On top of it sits a </w:t>
      </w:r>
      <w:r>
        <w:rPr>
          <w:b/>
          <w:bCs/>
        </w:rPr>
        <w:t xml:space="preserve">trader layer</w:t>
      </w:r>
      <w:r>
        <w:t xml:space="preserve"> built for someone executing a rebalance program with seconds per decision: verdict first, shares and bps, traffic lights, triggers, and exports. This guide walks through each feature using the same real MSCI event as the manual — the Vedanta deletion (VEDL, NSE), effective 25 June 2026, Sell 5% of ADV.</w:t>
      </w:r>
    </w:p>
    <w:p>
      <w:pPr>
        <w:pStyle w:val="Heading1"/>
      </w:pPr>
      <w:r>
        <w:t xml:space="preserve">1. The Verdict Banner — read this first</w:t>
      </w:r>
    </w:p>
    <w:p>
      <w:pPr>
        <w:spacing w:after="120"/>
      </w:pPr>
      <w:r>
        <w:t xml:space="preserve">As soon as a study finishes, the first thing on screen is one line (colored by the auction flag — green/amber/red):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🎯 SELL 1,359,725 sh (5.0% ADV) — S1 Tracker (100% MOC at T) ·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cost +1053 bps vs decision · tracking +0 bps vs print ·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auction 35% of est. close volume 🔴</w:t>
      </w:r>
    </w:p>
    <w:p>
      <w:pPr>
        <w:spacing w:after="100"/>
      </w:pPr>
    </w:p>
    <w:p>
      <w:pPr>
        <w:spacing w:after="120"/>
      </w:pPr>
      <w:r>
        <w:t xml:space="preserve">How the defaults are chosen: the </w:t>
      </w:r>
      <w:r>
        <w:rPr>
          <w:b/>
          <w:bCs/>
        </w:rPr>
        <w:t xml:space="preserve">side</w:t>
      </w:r>
      <w:r>
        <w:t xml:space="preserve"> comes from the Agent-12 event you loaded (Delete → Sell); the </w:t>
      </w:r>
      <w:r>
        <w:rPr>
          <w:b/>
          <w:bCs/>
        </w:rPr>
        <w:t xml:space="preserve">size</w:t>
      </w:r>
      <w:r>
        <w:t xml:space="preserve"> uses the flow-to-trade estimate when you entered index weight and tracked AUM, else 5% of ADV; the </w:t>
      </w:r>
      <w:r>
        <w:rPr>
          <w:b/>
          <w:bCs/>
        </w:rPr>
        <w:t xml:space="preserve">strategy</w:t>
      </w:r>
      <w:r>
        <w:t xml:space="preserve"> is the best pick for your selected objective. Refine all three in the Agent 14 controls — the banner is a starting point, not the answer.</w:t>
      </w:r>
    </w:p>
    <w:p>
      <w:pPr>
        <w:spacing w:after="120"/>
      </w:pPr>
      <w:r>
        <w:rPr>
          <w:b/>
          <w:bCs/>
        </w:rPr>
        <w:t xml:space="preserve">The traffic light</w:t>
      </w:r>
      <w:r>
        <w:t xml:space="preserve"> is the single most decision-relevant number on the page: your order as a share of estimated closing-auction volume (10% of T-day volume by default). GREEN &lt; 15%, AMBER 15–25%, RED &gt; 25% — RED means the close alone cannot absorb you cleanly and pre-positioning should be considered. Everything below the banner is evidence.</w:t>
      </w:r>
    </w:p>
    <w:p>
      <w:pPr>
        <w:pStyle w:val="Heading1"/>
      </w:pPr>
      <w:r>
        <w:t xml:space="preserve">2. The Trade Card — one name on one screen</w:t>
      </w:r>
    </w:p>
    <w:p>
      <w:pPr>
        <w:spacing w:after="120"/>
      </w:pPr>
      <w:r>
        <w:t xml:space="preserve">At the bottom of the Agent 14 section, the </w:t>
      </w:r>
      <w:r>
        <w:rPr>
          <w:b/>
          <w:bCs/>
        </w:rPr>
        <w:t xml:space="preserve">Trader Pack</w:t>
      </w:r>
      <w:r>
        <w:t xml:space="preserve"> renders a plain-text card built from your actual slider settings (side, size, fractions, horizons). The real Vedanta card: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====================================================================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REBALANCE TRADE CARD — VEDL.NS   (NIFTY 50)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Effective date T: 2026-06-25   Generated: 2026-07-08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====================================================================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SIDE / ORDER : SELL 1,359,725 sh = 5.0% ADV (ADV 27,194,500 sh)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OBJECTIVE    : Index Tracker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STRATEGY     : S1 Tracker (100% MOC at T)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BUCKETS      : pre 0 | auction 1,359,725 | post 0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AUCTION FLAG : RED — order = 35% of est. closing-auction volume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EXPECTED     : cost +1053 bps vs decision (300.80); tracking +0 bps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            vs print (273.45)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--------------------------------------------------------------------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READ         : Crowd pressure, not news: ~72% of the pre-event move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            came back within 5 days. Patience after T is paid.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            T-day close concentration: 0.9x normal (9.6% vs 11.2%).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RISK         : Auction stress: order is 35% of the estimated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            closing-auction volume (&gt; 25% threshold).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====================================================================</w:t>
      </w:r>
    </w:p>
    <w:p>
      <w:pPr>
        <w:spacing w:after="100"/>
      </w:pPr>
    </w:p>
    <w:p>
      <w:pPr>
        <w:spacing w:after="120"/>
      </w:pPr>
      <w:r>
        <w:t xml:space="preserve">Note the language: no CAR, no market model, no citations — “cheap to beta, crowd pressure, comes back.” The academic layer stays in the page for whoever asks “how do you know.”</w:t>
      </w:r>
    </w:p>
    <w:p>
      <w:pPr>
        <w:spacing w:after="120"/>
      </w:pPr>
      <w:r>
        <w:rPr>
          <w:b/>
          <w:bCs/>
        </w:rPr>
        <w:t xml:space="preserve">Three download buttons</w:t>
      </w:r>
      <w:r>
        <w:t xml:space="preserve"> sit under the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Trade card (.txt)</w:t>
      </w:r>
      <w:r>
        <w:t xml:space="preserve"> — print it or paste it into the desk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schedules (.csv)</w:t>
      </w:r>
      <w:r>
        <w:t xml:space="preserve"> — every strategy’s day-by-day slices (rel day, date, venue, shares, modeled fill and impact) ready to stage into an EMS or reconcile against fills afterwards.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Playbook (.txt)</w:t>
      </w:r>
      <w:r>
        <w:t xml:space="preserve"> — the conditional checklist below.</w:t>
      </w:r>
    </w:p>
    <w:p>
      <w:pPr>
        <w:pStyle w:val="Heading1"/>
      </w:pPr>
      <w:r>
        <w:t xml:space="preserve">3. The Conditional Playbook — triggers, not homework</w:t>
      </w:r>
    </w:p>
    <w:p>
      <w:pPr>
        <w:spacing w:after="120"/>
      </w:pPr>
      <w:r>
        <w:t xml:space="preserve">Mid-event nobody re-derives analysis; they execute triggers agreed in advance. The playbook turns the recommendation into dated IF/THEN gates with computed thresholds. Vedanta’s (abridged):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1. [T-5 → T-2] Confirm order size... Recheck auction flag — currently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RED (35% of est. close volume).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2. [T-2] IF auction flag is RED (&gt; 25%) THEN pre-position the excess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over 15% across T-2/T-1 continuous — do not carry RED into the close.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3. [T-1] IF abnormal move A→T-1 exceeds 10.1% (1.5x typical run-up)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THEN the crowd is early — shift ~20% of pre-position to post-effective.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4. [T-day] Auction bucket MOC. Tracker mandate: no limit (the print IS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the benchmark). Cost-minimizers: cap auction slice at 25%.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5. [T+1→T+8] IF reversal tracks the 72% reference THEN work the post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   bucket into strength; IF no reversal, complete within 2 days.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6. [T+5] Rerun the study so this event enters the library.</w:t>
      </w:r>
    </w:p>
    <w:p>
      <w:pPr>
        <w:spacing w:after="100"/>
      </w:pPr>
    </w:p>
    <w:p>
      <w:pPr>
        <w:spacing w:after="120"/>
      </w:pPr>
      <w:r>
        <w:rPr>
          <w:i/>
          <w:iCs/>
        </w:rPr>
        <w:t xml:space="preserve">Every threshold is a proposal — anchored on this event, or on the event library’s medians once it holds 3+ events — and is meant to be confirmed or overridden at the desk before the event.</w:t>
      </w:r>
    </w:p>
    <w:p>
      <w:pPr>
        <w:pStyle w:val="Heading1"/>
      </w:pPr>
      <w:r>
        <w:t xml:space="preserve">4. Basket Mode — the exception blotter</w:t>
      </w:r>
    </w:p>
    <w:p>
      <w:pPr>
        <w:spacing w:after="120"/>
      </w:pPr>
      <w:r>
        <w:t xml:space="preserve">Rebalance trading is portfolio trading. The </w:t>
      </w:r>
      <w:r>
        <w:rPr>
          <w:b/>
          <w:bCs/>
        </w:rPr>
        <w:t xml:space="preserve">“📦 Basket mode”</w:t>
      </w:r>
      <w:r>
        <w:t xml:space="preserve"> expander (above the Run button) takes your whole program as a CSV and returns a severity-ranked blotter instead of making you run 50 single-name studies.</w:t>
      </w:r>
    </w:p>
    <w:p>
      <w:pPr>
        <w:pStyle w:val="Heading2"/>
      </w:pPr>
      <w:r>
        <w:t xml:space="preserve">CSV format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ticker,market,side,shares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VEDL,India (NSE),Sell,1359725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RELIANCE,India (NSE),Buy,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5"/>
          <w:szCs w:val="15"/>
        </w:rPr>
        <w:t xml:space="preserve">2330,Taiwan (TWSE),Buy,5000000</w:t>
      </w:r>
    </w:p>
    <w:p>
      <w:pPr>
        <w:spacing w:after="100"/>
      </w:pPr>
    </w:p>
    <w:p>
      <w:pPr>
        <w:spacing w:after="120"/>
      </w:pPr>
      <w:r>
        <w:t xml:space="preserve">Columns </w:t>
      </w:r>
      <w:r>
        <w:rPr>
          <w:b/>
          <w:bCs/>
        </w:rPr>
        <w:t xml:space="preserve">ticker</w:t>
      </w:r>
      <w:r>
        <w:t xml:space="preserve"> and </w:t>
      </w:r>
      <w:r>
        <w:rPr>
          <w:b/>
          <w:bCs/>
        </w:rPr>
        <w:t xml:space="preserve">market</w:t>
      </w:r>
      <w:r>
        <w:t xml:space="preserve"> are required; </w:t>
      </w:r>
      <w:r>
        <w:rPr>
          <w:b/>
          <w:bCs/>
        </w:rPr>
        <w:t xml:space="preserve">side</w:t>
      </w:r>
      <w:r>
        <w:t xml:space="preserve"> defaults to Buy; blank </w:t>
      </w:r>
      <w:r>
        <w:rPr>
          <w:b/>
          <w:bCs/>
        </w:rPr>
        <w:t xml:space="preserve">shares</w:t>
      </w:r>
      <w:r>
        <w:t xml:space="preserve"> defaults to 5% of that name’s ADV. The effective date, event window and index proxy come from the Inputs section above the expander.</w:t>
      </w:r>
    </w:p>
    <w:p>
      <w:pPr>
        <w:pStyle w:val="Heading2"/>
      </w:pPr>
      <w:r>
        <w:t xml:space="preserve">Reading the blotter</w:t>
      </w:r>
    </w:p>
    <w:p>
      <w:pPr>
        <w:spacing w:after="120"/>
      </w:pPr>
      <w:r>
        <w:t xml:space="preserve">Rows are sorted worst-first: failed names (fix the ticker, or accept that an IPO has no history), then RED auction flags by size, then AMBER, then GREEN. Columns: shares, % ADV, auction flag, % of estimated auction volume, abnormal move into T so far, and the reversal class. Download as CSV for the morning meeting. Manage by exception: the GREEN two-thirds of the program needs no discussion.</w:t>
      </w:r>
    </w:p>
    <w:p>
      <w:pPr>
        <w:spacing w:after="120"/>
      </w:pPr>
      <w:r>
        <w:rPr>
          <w:b/>
          <w:bCs/>
        </w:rPr>
        <w:t xml:space="preserve">Fetch discipline: </w:t>
      </w:r>
      <w:r>
        <w:t xml:space="preserve">each name is one event study (two daily-bar downloads). Run a 50-name basket once pre-event — not repeatedly — or Yahoo will rate-limit you.</w:t>
      </w:r>
    </w:p>
    <w:p>
      <w:pPr>
        <w:pStyle w:val="Heading1"/>
      </w:pPr>
      <w:r>
        <w:t xml:space="preserve">5. The Event Library — anecdotes become priors</w:t>
      </w:r>
    </w:p>
    <w:p>
      <w:pPr>
        <w:spacing w:after="120"/>
      </w:pPr>
      <w:r>
        <w:t xml:space="preserve">Every completed study now auto-records one row (run-up, reversal fraction and class, drift-after-announcement, implied η, σ, ADV) to </w:t>
      </w:r>
      <w:r>
        <w:rPr>
          <w:rFonts w:ascii="Consolas" w:cs="Consolas" w:eastAsia="Consolas" w:hAnsi="Consolas"/>
          <w:sz w:val="20"/>
          <w:szCs w:val="20"/>
        </w:rPr>
        <w:t xml:space="preserve">data/event_library.json</w:t>
      </w:r>
      <w:r>
        <w:t xml:space="preserve">. You will see it in two places: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context line under the crowding caveat: “reversal fraction 0.72 vs library median … (n=…)” — is this event typical or an outlier?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 thresholds switch from “this event” to “library median, n=…” once 3+ events are stored — run studies on past reconstitutions of your index to seed it before the next review.</w:t>
      </w:r>
    </w:p>
    <w:p>
      <w:pPr>
        <w:spacing w:after="120"/>
      </w:pPr>
      <w:r>
        <w:rPr>
          <w:i/>
          <w:iCs/>
        </w:rPr>
        <w:t xml:space="preserve">Honesty note: the library is a growing sample of the events you chose to run, not a random cross-section. n and the source of every threshold are always displayed.</w:t>
      </w:r>
    </w:p>
    <w:p>
      <w:pPr>
        <w:pStyle w:val="Heading1"/>
      </w:pPr>
      <w:r>
        <w:t xml:space="preserve">6. The Pre-Event Workflow, End to 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T−10 to T−5: </w:t>
      </w:r>
      <w:r>
        <w:t xml:space="preserve">Agent 12 refresh → load the event → run the study. Seed the library with 3–5 past events for the same index while you’re there.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T−5: </w:t>
      </w:r>
      <w:r>
        <w:t xml:space="preserve">Enter weight change and tracked AUM (flow-based sizing) → set the side and size in Agent 14 → read the banner: if RED, decide the pre-position split now, not on the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T−4: </w:t>
      </w:r>
      <w:r>
        <w:t xml:space="preserve">Run basket mode on the full program → circulate the blotter CSV; agree the playbook triggers name-by-name for the exceptions.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T−1: </w:t>
      </w:r>
      <w:r>
        <w:t xml:space="preserve">Re-run the study (one click, inputs unchanged) — the banner, card and trigger #3 update with the latest run-up. Download final cards + schedules.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T-day: </w:t>
      </w:r>
      <w:r>
        <w:t xml:space="preserve">Execute the playbook. The card is the reference; no analysis reading mid-event.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T+5: </w:t>
      </w:r>
      <w:r>
        <w:t xml:space="preserve">Rerun to record the outcome into the library — next quarter’s thresholds get tighter.</w:t>
      </w:r>
    </w:p>
    <w:p>
      <w:pPr>
        <w:pStyle w:val="Heading1"/>
      </w:pPr>
      <w:r>
        <w:t xml:space="preserve">7. What’s Next (specified, not yet built)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Live-day mode: </w:t>
      </w:r>
      <w:r>
        <w:t xml:space="preserve">intraday volume-run-rate vs expected and revised auction capacity during T-day (extends backlog item B4).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Distributional simulation: </w:t>
      </w:r>
      <w:r>
        <w:t xml:space="preserve">once the library holds ~15+ events per market, score S1–S4 against the distribution of past paths (expected cost ± bands, minimax-regret recommendation) instead of one realized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One-click staging: </w:t>
      </w:r>
      <w:r>
        <w:t xml:space="preserve">recommended schedule → Page 1 algo simulator tickets per leg, with post-trade TCA feeding the library back.</w:t>
      </w:r>
    </w:p>
    <w:p>
      <w:pPr>
        <w:spacing w:after="120"/>
      </w:pPr>
      <w:r>
        <w:rPr>
          <w:i/>
          <w:iCs/>
        </w:rPr>
        <w:t xml:space="preserve">Design rationale and full specs: docs/TRADER_WORKFLOW_DESIGN.md.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2"/>
      </w:pBdr>
      <w:tabs>
        <w:tab w:val="right" w:pos="9026"/>
      </w:tabs>
      <w:spacing w:after="0"/>
    </w:pPr>
    <w:r>
      <w:rPr>
        <w:color w:val="888888"/>
        <w:sz w:val="18"/>
        <w:szCs w:val="18"/>
      </w:rPr>
      <w:t xml:space="preserve">Execution Analytics Platform — Trader Features Guide</w:t>
    </w:r>
    <w:r>
      <w:rPr>
        <w:color w:val="888888"/>
        <w:sz w:val="18"/>
        <w:szCs w:val="18"/>
      </w:rPr>
      <w:t xml:space="preserve">	8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2026-07-08T05:40:38.753Z</dcterms:created>
  <dcterms:modified xsi:type="dcterms:W3CDTF">2026-07-08T05:40:38.753Z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