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C1E65">
      <w:pPr>
        <w:rPr>
          <w:rFonts w:hint="eastAsia"/>
        </w:rPr>
      </w:pPr>
      <w:r>
        <w:rPr>
          <w:rFonts w:hint="eastAsia"/>
        </w:rPr>
        <w:t>This article proposes an adaptive semantic communication system based on signal-to-noise ratio, which aims to improve the efficiency and reliability of semantic communication in vehicular networks by dynamically adjusting the coding strategy.</w:t>
      </w:r>
    </w:p>
    <w:p w14:paraId="44A05AC6">
      <w:pPr>
        <w:bidi w:val="0"/>
        <w:rPr>
          <w:rFonts w:hint="eastAsia"/>
        </w:rPr>
      </w:pPr>
      <w:r>
        <w:rPr>
          <w:rFonts w:hint="eastAsia"/>
        </w:rPr>
        <w:t>Suggestions for improvement are as follows:</w:t>
      </w:r>
    </w:p>
    <w:p w14:paraId="3A34D42F">
      <w:pPr>
        <w:numPr>
          <w:ilvl w:val="0"/>
          <w:numId w:val="1"/>
        </w:numPr>
        <w:rPr>
          <w:rFonts w:hint="eastAsia"/>
          <w:lang w:val="en-US" w:eastAsia="zh-CN"/>
        </w:rPr>
      </w:pPr>
      <w:r>
        <w:rPr>
          <w:rFonts w:hint="eastAsia"/>
          <w:lang w:val="en-US" w:eastAsia="zh-CN"/>
        </w:rPr>
        <w:t>The summary of the research on semantic communication is relatively simple, and fails to highlight the limitations of existing methods and the pertinence of this study. It is recommended to conduct an in-depth analysis of the shortcomings of existing semantic communication methods.</w:t>
      </w:r>
    </w:p>
    <w:p w14:paraId="32B9067C">
      <w:pPr>
        <w:numPr>
          <w:ilvl w:val="0"/>
          <w:numId w:val="1"/>
        </w:numPr>
        <w:rPr>
          <w:rFonts w:hint="default"/>
          <w:lang w:val="en-US" w:eastAsia="zh-CN"/>
        </w:rPr>
      </w:pPr>
      <w:r>
        <w:rPr>
          <w:rFonts w:hint="default"/>
          <w:lang w:val="en-US" w:eastAsia="zh-CN"/>
        </w:rPr>
        <w:t>The current related research section does not clearly explain the intrinsic connection between these studies and this paper's work, making it difficult to highlight the innovation of this paper. It is recommended to clearly point out the relationship between existing methods and this paper's work in the summary section of each research direction.</w:t>
      </w:r>
    </w:p>
    <w:p w14:paraId="14AB9FDD">
      <w:pPr>
        <w:numPr>
          <w:ilvl w:val="0"/>
          <w:numId w:val="1"/>
        </w:numPr>
        <w:rPr>
          <w:rFonts w:hint="default"/>
          <w:lang w:val="en-US" w:eastAsia="zh-CN"/>
        </w:rPr>
      </w:pPr>
      <w:r>
        <w:rPr>
          <w:rFonts w:hint="default"/>
          <w:lang w:val="en-US" w:eastAsia="zh-CN"/>
        </w:rPr>
        <w:t xml:space="preserve">The </w:t>
      </w:r>
      <w:r>
        <w:rPr>
          <w:rFonts w:hint="eastAsia"/>
          <w:lang w:val="en-US" w:eastAsia="zh-CN"/>
        </w:rPr>
        <w:t>fig</w:t>
      </w:r>
      <w:r>
        <w:rPr>
          <w:rFonts w:hint="default"/>
          <w:lang w:val="en-US" w:eastAsia="zh-CN"/>
        </w:rPr>
        <w:t xml:space="preserve">ure in the article is not clear, it is recommended to replace it with a clear </w:t>
      </w:r>
      <w:r>
        <w:rPr>
          <w:rFonts w:hint="eastAsia"/>
          <w:lang w:val="en-US" w:eastAsia="zh-CN"/>
        </w:rPr>
        <w:t>fig</w:t>
      </w:r>
      <w:r>
        <w:rPr>
          <w:rFonts w:hint="default"/>
          <w:lang w:val="en-US" w:eastAsia="zh-CN"/>
        </w:rPr>
        <w:t>ure</w:t>
      </w:r>
      <w:r>
        <w:rPr>
          <w:rFonts w:hint="eastAsia"/>
          <w:lang w:val="en-US" w:eastAsia="zh-CN"/>
        </w:rPr>
        <w:t>.</w:t>
      </w:r>
    </w:p>
    <w:p w14:paraId="7E54037D">
      <w:pPr>
        <w:numPr>
          <w:ilvl w:val="0"/>
          <w:numId w:val="1"/>
        </w:numPr>
        <w:rPr>
          <w:rFonts w:hint="default"/>
          <w:lang w:val="en-US" w:eastAsia="zh-CN"/>
        </w:rPr>
      </w:pPr>
      <w:r>
        <w:rPr>
          <w:rFonts w:hint="default"/>
          <w:lang w:val="en-US" w:eastAsia="zh-CN"/>
        </w:rPr>
        <w:t>It is recommended to add core formulas and explain them so that readers can understand</w:t>
      </w:r>
      <w:r>
        <w:rPr>
          <w:rFonts w:hint="eastAsia"/>
          <w:lang w:val="en-US" w:eastAsia="zh-CN"/>
        </w:rPr>
        <w:t>.</w:t>
      </w:r>
    </w:p>
    <w:p w14:paraId="042BBEEC">
      <w:pPr>
        <w:numPr>
          <w:ilvl w:val="0"/>
          <w:numId w:val="1"/>
        </w:numPr>
        <w:rPr>
          <w:rFonts w:hint="default"/>
          <w:lang w:val="en-US" w:eastAsia="zh-CN"/>
        </w:rPr>
      </w:pPr>
      <w:r>
        <w:rPr>
          <w:rFonts w:hint="default"/>
          <w:lang w:val="en-US" w:eastAsia="zh-CN"/>
        </w:rPr>
        <w:t>The reference format in the article is not unified. It is recommended to unify the reference format</w:t>
      </w:r>
      <w:r>
        <w:rPr>
          <w:rFonts w:hint="eastAsia"/>
          <w:lang w:val="en-US" w:eastAsia="zh-CN"/>
        </w:rPr>
        <w:t>.</w:t>
      </w:r>
    </w:p>
    <w:p w14:paraId="7F459944">
      <w:pPr>
        <w:numPr>
          <w:ilvl w:val="0"/>
          <w:numId w:val="1"/>
        </w:numPr>
        <w:rPr>
          <w:rFonts w:hint="default"/>
          <w:lang w:val="en-US" w:eastAsia="zh-CN"/>
        </w:rPr>
      </w:pPr>
      <w:bookmarkStart w:id="0" w:name="_GoBack"/>
      <w:bookmarkEnd w:id="0"/>
      <w:r>
        <w:rPr>
          <w:rFonts w:hint="eastAsia"/>
        </w:rPr>
        <w:t>The English expression of the paper is generally clear, but some sentences are somewhat lengthy. It is suggested to polish the language to improve the readability and professionalism of the article.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E96687"/>
    <w:multiLevelType w:val="singleLevel"/>
    <w:tmpl w:val="52E9668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E5318"/>
    <w:rsid w:val="2CD467B5"/>
    <w:rsid w:val="35B94B67"/>
    <w:rsid w:val="3F276916"/>
    <w:rsid w:val="7F86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2025-07-01T02:47:00Z</dcterms:created>
  <dc:creator>86185</dc:creator>
  <cp:lastModifiedBy>湛倩倩</cp:lastModifiedBy>
  <dcterms:modified xsi:type="dcterms:W3CDTF">2025-07-23T05:02:37Z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58087BB12A6F484685A86033A2CA6BE6_12</vt:lpwstr>
  </property>
  <property fmtid="{D5CDD505-2E9C-101B-9397-08002B2CF9AE}" pid="4" name="KSOTemplateDocerSaveRecord">
    <vt:lpwstr>eyJoZGlkIjoiYWFiNmQ3ZTNhNjgwMDQ4ZTAyZjRjMTIyY2ZhZTFiMmYiLCJ1c2VySWQiOiIxNDUwNzgzNjQyIn0=</vt:lpwstr>
  </property>
</Properties>
</file>