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A8106" w14:textId="61373FD5" w:rsidR="009A2F91" w:rsidRDefault="005F70EC" w:rsidP="009A2F91">
      <w:pPr>
        <w:spacing w:after="120"/>
        <w:jc w:val="center"/>
        <w:rPr>
          <w:rFonts w:ascii="Times New Roman" w:hAnsi="Times New Roman" w:cs="Times New Roman"/>
          <w:sz w:val="48"/>
          <w:szCs w:val="48"/>
        </w:rPr>
      </w:pPr>
      <w:bookmarkStart w:id="0" w:name="_Hlk203628789"/>
      <w:bookmarkEnd w:id="0"/>
      <w:r w:rsidRPr="005F70EC">
        <w:rPr>
          <w:rFonts w:ascii="Times New Roman" w:hAnsi="Times New Roman" w:cs="Times New Roman"/>
          <w:sz w:val="48"/>
          <w:szCs w:val="48"/>
        </w:rPr>
        <w:t>SNR-Based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5D2BB7D5"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r>
        <w:rPr>
          <w:rFonts w:ascii="Times New Roman" w:hAnsi="Times New Roman" w:cs="Times New Roman" w:hint="eastAsia"/>
          <w:sz w:val="18"/>
          <w:szCs w:val="18"/>
        </w:rPr>
        <w:t>(</w:t>
      </w:r>
      <w:r w:rsidR="0075695C" w:rsidRPr="0075695C">
        <w:rPr>
          <w:rFonts w:ascii="Times New Roman" w:hAnsi="Times New Roman" w:cs="Times New Roman" w:hint="eastAsia"/>
          <w:sz w:val="18"/>
          <w:szCs w:val="18"/>
        </w:rPr>
        <w:t>corresponding author</w:t>
      </w:r>
      <w:r>
        <w:rPr>
          <w:rFonts w:ascii="Times New Roman" w:hAnsi="Times New Roman" w:cs="Times New Roman" w:hint="eastAsia"/>
          <w:sz w:val="18"/>
          <w:szCs w:val="18"/>
        </w:rPr>
        <w:t>)</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z w:val="18"/>
          <w:szCs w:val="18"/>
          <w:vertAlign w:val="superscript"/>
        </w:rPr>
        <w:t>a</w:t>
      </w:r>
      <w:r>
        <w:rPr>
          <w:rFonts w:ascii="Times New Roman" w:hAnsi="Times New Roman" w:cs="Times New Roman"/>
          <w:sz w:val="18"/>
          <w:szCs w:val="18"/>
        </w:rPr>
        <w:t xml:space="preserve">e-mail: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68AE805E" w14:textId="77777777" w:rsidR="009A2F91" w:rsidRPr="004D7210" w:rsidRDefault="009A2F91" w:rsidP="009A2F91">
      <w:pPr>
        <w:spacing w:after="40"/>
        <w:jc w:val="center"/>
        <w:rPr>
          <w:rFonts w:ascii="Times New Roman" w:hAnsi="Times New Roman" w:cs="Times New Roman"/>
          <w:sz w:val="18"/>
          <w:szCs w:val="18"/>
        </w:rPr>
      </w:pPr>
    </w:p>
    <w:p w14:paraId="46F8E7ED" w14:textId="4F6E8843"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r w:rsidR="009A2F91" w:rsidRPr="004D7210">
        <w:rPr>
          <w:rFonts w:ascii="Times New Roman" w:hAnsi="Times New Roman" w:cs="Times New Roman"/>
          <w:sz w:val="18"/>
          <w:szCs w:val="18"/>
          <w:vertAlign w:val="superscript"/>
        </w:rPr>
        <w:t>2</w:t>
      </w:r>
    </w:p>
    <w:p w14:paraId="1A3C68A7" w14:textId="093EA4BB"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sidRPr="0075695C">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5F230735" w:rsidR="009A2F91" w:rsidRPr="004D7210" w:rsidRDefault="0031187D" w:rsidP="009A2F91">
      <w:pPr>
        <w:spacing w:after="40"/>
        <w:jc w:val="center"/>
        <w:rPr>
          <w:rFonts w:ascii="Times New Roman" w:hAnsi="Times New Roman" w:cs="Times New Roman"/>
          <w:sz w:val="18"/>
          <w:szCs w:val="18"/>
        </w:rPr>
      </w:pPr>
      <w:r>
        <w:rPr>
          <w:rFonts w:ascii="Times New Roman" w:hAnsi="Times New Roman" w:cs="Times New Roman" w:hint="eastAsia"/>
          <w:sz w:val="18"/>
          <w:szCs w:val="18"/>
        </w:rPr>
        <w:t>-</w:t>
      </w:r>
    </w:p>
    <w:p w14:paraId="58B8B9F5" w14:textId="77777777" w:rsidR="009A2F91" w:rsidRPr="004D7210" w:rsidRDefault="009A2F91" w:rsidP="009A2F91">
      <w:pPr>
        <w:spacing w:after="40"/>
        <w:jc w:val="center"/>
        <w:rPr>
          <w:rFonts w:ascii="Times New Roman" w:hAnsi="Times New Roman" w:cs="Times New Roman"/>
          <w:sz w:val="18"/>
          <w:szCs w:val="18"/>
        </w:rPr>
      </w:pPr>
    </w:p>
    <w:p w14:paraId="2577A898" w14:textId="34513FB0" w:rsidR="009A2F91" w:rsidRDefault="009A2F91" w:rsidP="009A2F91">
      <w:pPr>
        <w:jc w:val="center"/>
        <w:rPr>
          <w:rFonts w:hint="eastAsia"/>
        </w:rPr>
        <w:sectPr w:rsidR="009A2F91" w:rsidSect="003E697F">
          <w:type w:val="continuous"/>
          <w:pgSz w:w="12242" w:h="15842"/>
          <w:pgMar w:top="1077" w:right="890" w:bottom="1440" w:left="890" w:header="851" w:footer="992" w:gutter="0"/>
          <w:cols w:num="2" w:space="756"/>
          <w:docGrid w:linePitch="312"/>
        </w:sectPr>
      </w:pPr>
    </w:p>
    <w:p w14:paraId="7A8B893F" w14:textId="77777777" w:rsidR="009A2F91"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5F64E21F"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74FDF1A9" w14:textId="743E59D3"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6775719"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we explore </w:t>
      </w:r>
      <w:r>
        <w:rPr>
          <w:rFonts w:ascii="Times New Roman" w:hAnsi="Times New Roman" w:cs="Times New Roman"/>
          <w:sz w:val="20"/>
          <w:szCs w:val="20"/>
        </w:rPr>
        <w:t>“</w:t>
      </w:r>
      <w:r w:rsidRPr="00CD08B1">
        <w:rPr>
          <w:rFonts w:ascii="Times New Roman" w:hAnsi="Times New Roman" w:cs="Times New Roman" w:hint="eastAsia"/>
          <w:sz w:val="20"/>
          <w:szCs w:val="20"/>
        </w:rPr>
        <w:t>SNR-based adaptive semantic communication</w:t>
      </w:r>
      <w:r>
        <w:rPr>
          <w:rFonts w:ascii="Times New Roman" w:hAnsi="Times New Roman" w:cs="Times New Roman"/>
          <w:sz w:val="20"/>
          <w:szCs w:val="20"/>
        </w:rPr>
        <w:t>”</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deep 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45505AFE"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01174D6C"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lastRenderedPageBreak/>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2FEAE277" w14:textId="3236F62C" w:rsidR="0019354C" w:rsidRDefault="007F0425" w:rsidP="00296C71">
      <w:pPr>
        <w:spacing w:after="120" w:line="228" w:lineRule="auto"/>
        <w:ind w:firstLine="289"/>
        <w:rPr>
          <w:rFonts w:ascii="Times New Roman" w:hAnsi="Times New Roman" w:cs="Times New Roman"/>
          <w:sz w:val="20"/>
          <w:szCs w:val="20"/>
        </w:rPr>
      </w:pPr>
      <w:r w:rsidRPr="0031187D">
        <w:rPr>
          <w:rFonts w:ascii="Times New Roman" w:hAnsi="Times New Roman" w:cs="Times New Roman"/>
          <w:noProof/>
          <w:sz w:val="20"/>
          <w:szCs w:val="20"/>
        </w:rPr>
        <w:drawing>
          <wp:anchor distT="0" distB="0" distL="114300" distR="114300" simplePos="0" relativeHeight="251660288" behindDoc="0" locked="0" layoutInCell="1" allowOverlap="1" wp14:anchorId="25EC34D3" wp14:editId="42E46882">
            <wp:simplePos x="0" y="0"/>
            <wp:positionH relativeFrom="column">
              <wp:align>right</wp:align>
            </wp:positionH>
            <wp:positionV relativeFrom="paragraph">
              <wp:posOffset>372137</wp:posOffset>
            </wp:positionV>
            <wp:extent cx="3166161" cy="2038350"/>
            <wp:effectExtent l="0" t="0" r="0" b="0"/>
            <wp:wrapTopAndBottom/>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6161" cy="2038350"/>
                    </a:xfrm>
                    <a:prstGeom prst="rect">
                      <a:avLst/>
                    </a:prstGeom>
                  </pic:spPr>
                </pic:pic>
              </a:graphicData>
            </a:graphic>
            <wp14:sizeRelH relativeFrom="page">
              <wp14:pctWidth>0</wp14:pctWidth>
            </wp14:sizeRelH>
            <wp14:sizeRelV relativeFrom="page">
              <wp14:pctHeight>0</wp14:pctHeight>
            </wp14:sizeRelV>
          </wp:anchor>
        </w:drawing>
      </w:r>
      <w:r w:rsidR="0019354C"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0019354C" w:rsidRPr="0019354C">
        <w:rPr>
          <w:rFonts w:ascii="Times New Roman" w:hAnsi="Times New Roman" w:cs="Times New Roman"/>
          <w:sz w:val="20"/>
          <w:szCs w:val="20"/>
        </w:rPr>
        <w:t>:</w:t>
      </w:r>
    </w:p>
    <w:p w14:paraId="7A3FC34B" w14:textId="7070CB5F" w:rsidR="0031187D" w:rsidRDefault="0031187D" w:rsidP="0031187D">
      <w:pPr>
        <w:spacing w:before="80" w:after="200"/>
        <w:ind w:firstLine="289"/>
        <w:jc w:val="center"/>
        <w:rPr>
          <w:rFonts w:ascii="Times New Roman" w:hAnsi="Times New Roman" w:cs="Times New Roman"/>
          <w:sz w:val="20"/>
          <w:szCs w:val="20"/>
        </w:rPr>
      </w:pP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4F847BC3"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A pre-trained 4-layer MLP classifier is used to evaluate semantic consistency. This network remains fixed and is used only to evaluate classification accuracy on decoded outputs</w:t>
      </w:r>
      <w:r w:rsidR="000420AF">
        <w:rPr>
          <w:rFonts w:ascii="Times New Roman" w:hAnsi="Times New Roman" w:cs="Times New Roman" w:hint="eastAsia"/>
          <w:sz w:val="20"/>
          <w:szCs w:val="20"/>
        </w:rPr>
        <w:t>.</w:t>
      </w:r>
    </w:p>
    <w:p w14:paraId="6FD11620" w14:textId="578A5082"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 xml:space="preserve">For the CIFAR-10 dataset, we adopt a pre-trained </w:t>
      </w:r>
      <w:r w:rsidRPr="003D7773">
        <w:rPr>
          <w:rFonts w:ascii="Times New Roman" w:hAnsi="Times New Roman" w:cs="Times New Roman" w:hint="eastAsia"/>
          <w:sz w:val="20"/>
          <w:szCs w:val="20"/>
        </w:rPr>
        <w:t>GoogLeNet model to evaluate semantic consistency. GoogLeNet is a deep convolutional neural network architecture known for its inception modules, which allow it to extract multi-scale features efficiently with a relatively low parameter count. By comparing the classification accuracy of decoded 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2A52A5" w:rsidRDefault="002A52A5" w:rsidP="002A52A5">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We use the </w:t>
      </w:r>
      <w:r w:rsidRPr="002A52A5">
        <w:rPr>
          <w:rFonts w:ascii="Times New Roman" w:hAnsi="Times New Roman" w:cs="Times New Roman"/>
          <w:b/>
          <w:bCs/>
          <w:sz w:val="20"/>
          <w:szCs w:val="20"/>
        </w:rPr>
        <w:t>MNIST</w:t>
      </w:r>
      <w:r w:rsidRPr="002A52A5">
        <w:rPr>
          <w:rFonts w:ascii="Times New Roman" w:hAnsi="Times New Roman" w:cs="Times New Roman"/>
          <w:sz w:val="20"/>
          <w:szCs w:val="20"/>
        </w:rPr>
        <w:t xml:space="preserve"> dataset of handwritten digits, which contains 60,000 training and 10,000 test samples. </w:t>
      </w:r>
    </w:p>
    <w:p w14:paraId="21EF0ECA" w14:textId="2B618725" w:rsidR="002A52A5" w:rsidRDefault="002A52A5" w:rsidP="00667F8E">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In addition to MNIST, we incorporate the </w:t>
      </w:r>
      <w:r w:rsidRPr="002A52A5">
        <w:rPr>
          <w:rFonts w:ascii="Times New Roman" w:hAnsi="Times New Roman" w:cs="Times New Roman"/>
          <w:b/>
          <w:bCs/>
          <w:sz w:val="20"/>
          <w:szCs w:val="20"/>
        </w:rPr>
        <w:t>CIFAR-10</w:t>
      </w:r>
      <w:r w:rsidRPr="002A52A5">
        <w:rPr>
          <w:rFonts w:ascii="Times New Roman" w:hAnsi="Times New Roman" w:cs="Times New Roman"/>
          <w:sz w:val="20"/>
          <w:szCs w:val="20"/>
        </w:rPr>
        <w:t xml:space="preserve"> dataset to test our adaptive semantic communication framework on more complex, high-dimensional images.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robustness and adaptability of the proposed semantic communication system, we simulate a wide range of channel conditions by selecting ten random </w:t>
      </w:r>
      <w:r w:rsidRPr="00915CA8">
        <w:rPr>
          <w:rFonts w:ascii="Times New Roman" w:hAnsi="Times New Roman" w:cs="Times New Roman"/>
          <w:b/>
          <w:bCs/>
          <w:sz w:val="20"/>
          <w:szCs w:val="20"/>
        </w:rPr>
        <w:t>Signal-to-Noise Ratio (SNR)</w:t>
      </w:r>
      <w:r w:rsidRPr="00915CA8">
        <w:rPr>
          <w:rFonts w:ascii="Times New Roman" w:hAnsi="Times New Roman" w:cs="Times New Roman"/>
          <w:sz w:val="20"/>
          <w:szCs w:val="20"/>
        </w:rPr>
        <w:t xml:space="preserve"> 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589135EF"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effectiveness of the semantic communication framework under different bandwidth constraints, we experiment with a range of </w:t>
      </w:r>
      <w:r w:rsidRPr="00915CA8">
        <w:rPr>
          <w:rFonts w:ascii="Times New Roman" w:hAnsi="Times New Roman" w:cs="Times New Roman"/>
          <w:b/>
          <w:bCs/>
          <w:sz w:val="20"/>
          <w:szCs w:val="20"/>
        </w:rPr>
        <w:t>compression rates</w:t>
      </w:r>
      <w:r w:rsidRPr="00915CA8">
        <w:rPr>
          <w:rFonts w:ascii="Times New Roman" w:hAnsi="Times New Roman" w:cs="Times New Roman"/>
          <w:sz w:val="20"/>
          <w:szCs w:val="20"/>
        </w:rPr>
        <w:t xml:space="preserve"> from </w:t>
      </w:r>
      <w:r w:rsidRPr="00915CA8">
        <w:rPr>
          <w:rFonts w:ascii="Times New Roman" w:hAnsi="Times New Roman" w:cs="Times New Roman"/>
          <w:b/>
          <w:bCs/>
          <w:sz w:val="20"/>
          <w:szCs w:val="20"/>
        </w:rPr>
        <w:t>0.1 to 1.0</w:t>
      </w:r>
      <w:r w:rsidRPr="00915CA8">
        <w:rPr>
          <w:rFonts w:ascii="Times New Roman" w:hAnsi="Times New Roman" w:cs="Times New Roman"/>
          <w:sz w:val="20"/>
          <w:szCs w:val="20"/>
        </w:rPr>
        <w:t xml:space="preserve">, where the compression rate is defined as the ratio of the size of the latent representation to the original input size. </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lastRenderedPageBreak/>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052FED">
        <w:rPr>
          <w:rFonts w:ascii="Times New Roman" w:hAnsi="Times New Roman" w:cs="Times New Roman"/>
          <w:b/>
          <w:bCs/>
          <w:sz w:val="20"/>
          <w:szCs w:val="20"/>
        </w:rPr>
        <w:t>semantic metric</w:t>
      </w:r>
      <w:r w:rsidRPr="00052FED">
        <w:rPr>
          <w:rFonts w:ascii="Times New Roman" w:hAnsi="Times New Roman" w:cs="Times New Roman"/>
          <w:sz w:val="20"/>
          <w:szCs w:val="20"/>
        </w:rPr>
        <w:t>, reflecting how well the meaning or class label of the transmitted image is preserved after compression and channel transmission. For MNIST, a pre-trained 4-layer MLP classifier 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 </w:t>
      </w:r>
      <w:r w:rsidRPr="00052FED">
        <w:rPr>
          <w:rFonts w:ascii="Times New Roman" w:hAnsi="Times New Roman" w:cs="Times New Roman"/>
          <w:b/>
          <w:bCs/>
          <w:sz w:val="20"/>
          <w:szCs w:val="20"/>
        </w:rPr>
        <w:t>perceptual quality</w:t>
      </w:r>
      <w:r w:rsidRPr="00052FED">
        <w:rPr>
          <w:rFonts w:ascii="Times New Roman" w:hAnsi="Times New Roman" w:cs="Times New Roman"/>
          <w:sz w:val="20"/>
          <w:szCs w:val="20"/>
        </w:rPr>
        <w:t xml:space="preserve"> 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BD4AE7">
        <w:rPr>
          <w:rFonts w:ascii="Times New Roman" w:hAnsi="Times New Roman" w:cs="Times New Roman"/>
          <w:b/>
          <w:bCs/>
          <w:sz w:val="20"/>
          <w:szCs w:val="20"/>
        </w:rPr>
        <w:t>accuracy</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PSNR</w:t>
      </w:r>
      <w:r w:rsidRPr="00BD4AE7">
        <w:rPr>
          <w:rFonts w:ascii="Times New Roman" w:hAnsi="Times New Roman" w:cs="Times New Roman"/>
          <w:sz w:val="20"/>
          <w:szCs w:val="20"/>
        </w:rPr>
        <w:t xml:space="preserve"> provide a balanced evaluation of the system’s ability to preserve both the </w:t>
      </w:r>
      <w:r w:rsidRPr="00BD4AE7">
        <w:rPr>
          <w:rFonts w:ascii="Times New Roman" w:hAnsi="Times New Roman" w:cs="Times New Roman"/>
          <w:b/>
          <w:bCs/>
          <w:sz w:val="20"/>
          <w:szCs w:val="20"/>
        </w:rPr>
        <w:t>meaning</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E8F629C" w14:textId="77777777" w:rsidR="002A52A5" w:rsidRPr="002A52A5" w:rsidRDefault="002A52A5" w:rsidP="002A52A5">
      <w:pPr>
        <w:spacing w:after="120" w:line="228" w:lineRule="auto"/>
        <w:ind w:firstLine="289"/>
        <w:rPr>
          <w:rFonts w:ascii="Times New Roman" w:hAnsi="Times New Roman" w:cs="Times New Roman"/>
          <w:sz w:val="20"/>
          <w:szCs w:val="20"/>
        </w:rPr>
      </w:pP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8.44 dB</w:t>
      </w:r>
      <w:r w:rsidRPr="00F60898">
        <w:rPr>
          <w:rFonts w:ascii="Times New Roman" w:hAnsi="Times New Roman" w:cs="Times New Roman"/>
          <w:sz w:val="20"/>
          <w:szCs w:val="20"/>
        </w:rPr>
        <w:t xml:space="preserve">, with compression rates set to </w:t>
      </w:r>
      <w:r w:rsidRPr="00F60898">
        <w:rPr>
          <w:rFonts w:ascii="Times New Roman" w:hAnsi="Times New Roman" w:cs="Times New Roman"/>
          <w:b/>
          <w:bCs/>
          <w:sz w:val="20"/>
          <w:szCs w:val="20"/>
        </w:rPr>
        <w:t>0.1</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0.4</w:t>
      </w:r>
      <w:r w:rsidRPr="00F60898">
        <w:rPr>
          <w:rFonts w:ascii="Times New Roman" w:hAnsi="Times New Roman" w:cs="Times New Roman"/>
          <w:sz w:val="20"/>
          <w:szCs w:val="20"/>
        </w:rPr>
        <w:t xml:space="preserve">, respectively. These conditions were selected to highlight the model's performance in low- and mid-SNR regimes, which are particularly relevant for real-world wireless communication scenarios. </w:t>
      </w:r>
    </w:p>
    <w:p w14:paraId="0AF02E1E" w14:textId="77777777" w:rsidR="00AD2539" w:rsidRDefault="00AD2539" w:rsidP="000420AF">
      <w:pPr>
        <w:spacing w:after="120" w:line="228" w:lineRule="auto"/>
        <w:ind w:firstLine="289"/>
        <w:rPr>
          <w:rFonts w:ascii="Times New Roman" w:hAnsi="Times New Roman" w:cs="Times New Roman"/>
          <w:sz w:val="20"/>
          <w:szCs w:val="20"/>
        </w:rPr>
      </w:pP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the channel is severely degraded, making raw transmission of images ineffective due to substantial corruption. In this regime, the adaptive system engages the neural encoder-decoder pipeline to compress and denoise the input prior to transmission. This semantic-aware processing leads to a </w:t>
      </w:r>
      <w:r w:rsidRPr="00F60898">
        <w:rPr>
          <w:rFonts w:ascii="Times New Roman" w:hAnsi="Times New Roman" w:cs="Times New Roman"/>
          <w:b/>
          <w:bCs/>
          <w:sz w:val="20"/>
          <w:szCs w:val="20"/>
        </w:rPr>
        <w:t>substantial increase in classification accuracy</w:t>
      </w:r>
      <w:r w:rsidRPr="00F60898">
        <w:rPr>
          <w:rFonts w:ascii="Times New Roman" w:hAnsi="Times New Roman" w:cs="Times New Roman"/>
          <w:sz w:val="20"/>
          <w:szCs w:val="20"/>
        </w:rPr>
        <w:t>. 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2B578B6C" w14:textId="229EBD78" w:rsidR="0055260F"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One of the main goals of semantic communication is to transmit "meaning" rather than raw data. Our experiments validate this principle: even at a </w:t>
      </w:r>
      <w:r w:rsidRPr="00562C45">
        <w:rPr>
          <w:rFonts w:ascii="Times New Roman" w:hAnsi="Times New Roman" w:cs="Times New Roman"/>
          <w:b/>
          <w:bCs/>
          <w:sz w:val="20"/>
          <w:szCs w:val="20"/>
        </w:rPr>
        <w:t>compression rate of 0.1</w:t>
      </w:r>
      <w:r w:rsidR="00966ED6">
        <w:rPr>
          <w:rFonts w:ascii="Times New Roman" w:hAnsi="Times New Roman" w:cs="Times New Roman" w:hint="eastAsia"/>
          <w:b/>
          <w:bCs/>
          <w:sz w:val="20"/>
          <w:szCs w:val="20"/>
        </w:rPr>
        <w:t xml:space="preserve"> </w:t>
      </w:r>
      <w:r w:rsidR="00966ED6" w:rsidRPr="00966ED6">
        <w:rPr>
          <w:rFonts w:ascii="Times New Roman" w:hAnsi="Times New Roman" w:cs="Times New Roman" w:hint="eastAsia"/>
          <w:sz w:val="20"/>
          <w:szCs w:val="20"/>
        </w:rPr>
        <w:t>(</w:t>
      </w:r>
      <w:r w:rsidR="00966ED6">
        <w:rPr>
          <w:rFonts w:ascii="Times New Roman" w:hAnsi="Times New Roman" w:cs="Times New Roman" w:hint="eastAsia"/>
          <w:sz w:val="20"/>
          <w:szCs w:val="20"/>
        </w:rPr>
        <w:t xml:space="preserve">as shown in Figure </w:t>
      </w:r>
      <w:r w:rsidR="004910B9">
        <w:rPr>
          <w:rFonts w:ascii="Times New Roman" w:hAnsi="Times New Roman" w:cs="Times New Roman" w:hint="eastAsia"/>
          <w:sz w:val="20"/>
          <w:szCs w:val="20"/>
        </w:rPr>
        <w:t>4</w:t>
      </w:r>
      <w:r w:rsidR="00966ED6" w:rsidRPr="00966ED6">
        <w:rPr>
          <w:rFonts w:ascii="Times New Roman" w:hAnsi="Times New Roman" w:cs="Times New Roman" w:hint="eastAsia"/>
          <w:sz w:val="20"/>
          <w:szCs w:val="20"/>
        </w:rPr>
        <w:t>)</w:t>
      </w:r>
      <w:r w:rsidRPr="00562C45">
        <w:rPr>
          <w:rFonts w:ascii="Times New Roman" w:hAnsi="Times New Roman" w:cs="Times New Roman"/>
          <w:sz w:val="20"/>
          <w:szCs w:val="20"/>
        </w:rPr>
        <w:t xml:space="preserve">, where 90% of the input information is discarded, the system is able to reconstruct semantically valid </w:t>
      </w:r>
      <w:r w:rsidRPr="00562C45">
        <w:rPr>
          <w:rFonts w:ascii="Times New Roman" w:hAnsi="Times New Roman" w:cs="Times New Roman"/>
          <w:sz w:val="20"/>
          <w:szCs w:val="20"/>
        </w:rPr>
        <w:lastRenderedPageBreak/>
        <w:t xml:space="preserve">representations. For MNIST, this corresponds to achieving </w:t>
      </w:r>
      <w:r w:rsidRPr="00562C45">
        <w:rPr>
          <w:rFonts w:ascii="Times New Roman" w:hAnsi="Times New Roman" w:cs="Times New Roman"/>
          <w:b/>
          <w:bCs/>
          <w:sz w:val="20"/>
          <w:szCs w:val="20"/>
        </w:rPr>
        <w:t>over 94% classification accuracy</w:t>
      </w:r>
      <w:r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Pr="00562C45">
        <w:rPr>
          <w:rFonts w:ascii="Times New Roman" w:hAnsi="Times New Roman" w:cs="Times New Roman"/>
          <w:sz w:val="20"/>
          <w:szCs w:val="20"/>
        </w:rPr>
        <w:t xml:space="preserve"> compression still yields usable class information. This efficiency makes the system well-suited to bandwidth-</w:t>
      </w:r>
      <w:r w:rsidR="007F0425" w:rsidRPr="00C6057B">
        <w:rPr>
          <w:rFonts w:ascii="Times New Roman" w:hAnsi="Times New Roman" w:cs="Times New Roman"/>
          <w:sz w:val="16"/>
          <w:szCs w:val="16"/>
        </w:rPr>
        <w:drawing>
          <wp:anchor distT="0" distB="0" distL="114300" distR="114300" simplePos="0" relativeHeight="251659264" behindDoc="0" locked="0" layoutInCell="1" allowOverlap="1" wp14:anchorId="4865467B" wp14:editId="1C1DEB9B">
            <wp:simplePos x="0" y="0"/>
            <wp:positionH relativeFrom="column">
              <wp:align>right</wp:align>
            </wp:positionH>
            <wp:positionV relativeFrom="paragraph">
              <wp:posOffset>802696</wp:posOffset>
            </wp:positionV>
            <wp:extent cx="3091712" cy="1932167"/>
            <wp:effectExtent l="0" t="0" r="0" b="0"/>
            <wp:wrapTopAndBottom/>
            <wp:docPr id="557503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1712" cy="19321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2C45">
        <w:rPr>
          <w:rFonts w:ascii="Times New Roman" w:hAnsi="Times New Roman" w:cs="Times New Roman"/>
          <w:sz w:val="20"/>
          <w:szCs w:val="20"/>
        </w:rPr>
        <w:t>constrained applications such as IoT and wireless edge devices.</w:t>
      </w:r>
    </w:p>
    <w:p w14:paraId="1DA7081E" w14:textId="77777777"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When the channel is clean (e.g., </w:t>
      </w:r>
      <w:r w:rsidRPr="00562C45">
        <w:rPr>
          <w:rFonts w:ascii="Times New Roman" w:hAnsi="Times New Roman" w:cs="Times New Roman"/>
          <w:b/>
          <w:bCs/>
          <w:sz w:val="20"/>
          <w:szCs w:val="20"/>
        </w:rPr>
        <w:t>SNR ≥ 10 dB</w:t>
      </w:r>
      <w:r w:rsidRPr="00562C45">
        <w:rPr>
          <w:rFonts w:ascii="Times New Roman" w:hAnsi="Times New Roman" w:cs="Times New Roman"/>
          <w:sz w:val="20"/>
          <w:szCs w:val="20"/>
        </w:rPr>
        <w:t xml:space="preserve">), the adaptive system bypasses the neural encoder and sends the raw image with additive Gaussian noise. This strategy offers </w:t>
      </w:r>
      <w:r w:rsidRPr="00562C45">
        <w:rPr>
          <w:rFonts w:ascii="Times New Roman" w:hAnsi="Times New Roman" w:cs="Times New Roman"/>
          <w:b/>
          <w:bCs/>
          <w:sz w:val="20"/>
          <w:szCs w:val="20"/>
        </w:rPr>
        <w:t>computational savings</w:t>
      </w:r>
      <w:r w:rsidRPr="00562C45">
        <w:rPr>
          <w:rFonts w:ascii="Times New Roman" w:hAnsi="Times New Roman" w:cs="Times New Roman"/>
          <w:sz w:val="20"/>
          <w:szCs w:val="20"/>
        </w:rPr>
        <w:t xml:space="preserve">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w:t>
      </w:r>
      <w:r w:rsidRPr="00562C45">
        <w:rPr>
          <w:rFonts w:ascii="Times New Roman" w:hAnsi="Times New Roman" w:cs="Times New Roman"/>
          <w:b/>
          <w:bCs/>
          <w:sz w:val="20"/>
          <w:szCs w:val="20"/>
        </w:rPr>
        <w:t>efficient utilization of computation and energy</w:t>
      </w:r>
      <w:r w:rsidRPr="00562C45">
        <w:rPr>
          <w:rFonts w:ascii="Times New Roman" w:hAnsi="Times New Roman" w:cs="Times New Roman"/>
          <w:sz w:val="20"/>
          <w:szCs w:val="20"/>
        </w:rPr>
        <w:t>, enabling real-time operation in practical deployments.</w:t>
      </w:r>
    </w:p>
    <w:p w14:paraId="4491A1FE" w14:textId="5DD05C59" w:rsidR="00C6057B" w:rsidRDefault="007F0425" w:rsidP="0055260F">
      <w:pPr>
        <w:spacing w:after="120" w:line="228" w:lineRule="auto"/>
        <w:ind w:firstLine="289"/>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6D469514" wp14:editId="5E7726F2">
            <wp:simplePos x="0" y="0"/>
            <wp:positionH relativeFrom="column">
              <wp:align>right</wp:align>
            </wp:positionH>
            <wp:positionV relativeFrom="paragraph">
              <wp:posOffset>351790</wp:posOffset>
            </wp:positionV>
            <wp:extent cx="3181477" cy="1988266"/>
            <wp:effectExtent l="0" t="0" r="0" b="0"/>
            <wp:wrapTopAndBottom/>
            <wp:docPr id="1158610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477" cy="1988266"/>
                    </a:xfrm>
                    <a:prstGeom prst="rect">
                      <a:avLst/>
                    </a:prstGeom>
                    <a:noFill/>
                    <a:ln>
                      <a:noFill/>
                    </a:ln>
                  </pic:spPr>
                </pic:pic>
              </a:graphicData>
            </a:graphic>
            <wp14:sizeRelH relativeFrom="page">
              <wp14:pctWidth>0</wp14:pctWidth>
            </wp14:sizeRelH>
            <wp14:sizeRelV relativeFrom="page">
              <wp14:pctHeight>0</wp14:pctHeight>
            </wp14:sizeRelV>
          </wp:anchor>
        </w:drawing>
      </w:r>
      <w:r w:rsidR="00C6057B">
        <w:rPr>
          <w:rFonts w:ascii="Times New Roman" w:hAnsi="Times New Roman" w:cs="Times New Roman" w:hint="eastAsia"/>
          <w:sz w:val="20"/>
          <w:szCs w:val="20"/>
        </w:rPr>
        <w:t>The comparison of adaptive system to others is depicted in Figure 5.</w:t>
      </w:r>
    </w:p>
    <w:p w14:paraId="310181FF" w14:textId="21E4D101" w:rsidR="00C6057B" w:rsidRPr="00966ED6" w:rsidRDefault="00C6057B" w:rsidP="00C6057B">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2717F415" w14:textId="3D7A5A8C" w:rsidR="00562C45" w:rsidRPr="00052FED"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562C45">
        <w:rPr>
          <w:rFonts w:ascii="Times New Roman" w:hAnsi="Times New Roman" w:cs="Times New Roman"/>
          <w:b/>
          <w:bCs/>
          <w:sz w:val="20"/>
          <w:szCs w:val="20"/>
        </w:rPr>
        <w:t>respond intelligently to channel conditions</w:t>
      </w:r>
      <w:r w:rsidRPr="00562C45">
        <w:rPr>
          <w:rFonts w:ascii="Times New Roman" w:hAnsi="Times New Roman" w:cs="Times New Roman"/>
          <w:sz w:val="20"/>
          <w:szCs w:val="20"/>
        </w:rPr>
        <w:t>, improving both semantic fidelity and system efficiency. This represents a promising direction for the design of future communication systems that integrate machine learning with signal processing.</w:t>
      </w:r>
    </w:p>
    <w:p w14:paraId="70FC9806" w14:textId="6520E393" w:rsidR="009A2F91" w:rsidRDefault="00562C45" w:rsidP="009A2F91">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9A2F91">
        <w:rPr>
          <w:rFonts w:ascii="Times New Roman" w:hAnsi="Times New Roman" w:cs="Times New Roman"/>
          <w:sz w:val="20"/>
          <w:szCs w:val="20"/>
        </w:rPr>
        <w:t xml:space="preserve">I. </w:t>
      </w:r>
      <w:r w:rsidRPr="00562C45">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this work, we proposed an </w:t>
      </w:r>
      <w:r w:rsidRPr="00562C45">
        <w:rPr>
          <w:rFonts w:ascii="Times New Roman" w:hAnsi="Times New Roman" w:cs="Times New Roman"/>
          <w:b/>
          <w:bCs/>
          <w:sz w:val="20"/>
          <w:szCs w:val="20"/>
        </w:rPr>
        <w:t>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the channel condition. This design enables the system to intelligently balance </w:t>
      </w:r>
      <w:r w:rsidRPr="00562C45">
        <w:rPr>
          <w:rFonts w:ascii="Times New Roman" w:hAnsi="Times New Roman" w:cs="Times New Roman"/>
          <w:b/>
          <w:bCs/>
          <w:sz w:val="20"/>
          <w:szCs w:val="20"/>
        </w:rPr>
        <w:t>semantic fidelity</w:t>
      </w:r>
      <w:r w:rsidRPr="00562C45">
        <w:rPr>
          <w:rFonts w:ascii="Times New Roman" w:hAnsi="Times New Roman" w:cs="Times New Roman"/>
          <w:sz w:val="20"/>
          <w:szCs w:val="20"/>
        </w:rPr>
        <w:t xml:space="preserve">, </w:t>
      </w:r>
      <w:r w:rsidRPr="00562C45">
        <w:rPr>
          <w:rFonts w:ascii="Times New Roman" w:hAnsi="Times New Roman" w:cs="Times New Roman"/>
          <w:b/>
          <w:bCs/>
          <w:sz w:val="20"/>
          <w:szCs w:val="20"/>
        </w:rPr>
        <w:t>reconstruction quality</w:t>
      </w:r>
      <w:r w:rsidRPr="00562C45">
        <w:rPr>
          <w:rFonts w:ascii="Times New Roman" w:hAnsi="Times New Roman" w:cs="Times New Roman"/>
          <w:sz w:val="20"/>
          <w:szCs w:val="20"/>
        </w:rPr>
        <w:t xml:space="preserve">, and </w:t>
      </w:r>
      <w:r w:rsidRPr="00562C45">
        <w:rPr>
          <w:rFonts w:ascii="Times New Roman" w:hAnsi="Times New Roman" w:cs="Times New Roman"/>
          <w:b/>
          <w:bCs/>
          <w:sz w:val="20"/>
          <w:szCs w:val="20"/>
        </w:rPr>
        <w:t>computational efficiency</w:t>
      </w:r>
      <w:r w:rsidRPr="00562C45">
        <w:rPr>
          <w:rFonts w:ascii="Times New Roman" w:hAnsi="Times New Roman" w:cs="Times New Roman"/>
          <w:sz w:val="20"/>
          <w:szCs w:val="20"/>
        </w:rPr>
        <w:t>.</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00A36E5F"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w:t>
      </w:r>
      <w:r w:rsidR="00C6057B">
        <w:rPr>
          <w:rFonts w:ascii="Times New Roman" w:hAnsi="Times New Roman" w:cs="Times New Roman" w:hint="eastAsia"/>
          <w:sz w:val="20"/>
          <w:szCs w:val="20"/>
        </w:rPr>
        <w:t>7</w:t>
      </w:r>
      <w:r w:rsidRPr="00562C45">
        <w:rPr>
          <w:rFonts w:ascii="Times New Roman" w:hAnsi="Times New Roman" w:cs="Times New Roman" w:hint="eastAsia"/>
          <w:sz w:val="20"/>
          <w:szCs w:val="20"/>
        </w:rPr>
        <w:t>) and noisy channels, the adaptive semantic framework preserved key class information and delivered robust classification performance using a pre-trained GoogLeNet classifier. These results affirm the system's adaptability across both simple (MNIST) and complex (CIFAR-10) visual domains.</w:t>
      </w:r>
    </w:p>
    <w:p w14:paraId="5DBE6646" w14:textId="357F8E6D"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W. Saad, M. Debbah, Z. Han and H. Vincent Poor, "Less Data, More Knowledge: Building Next-Generation Semantic 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D4038" w14:textId="77777777" w:rsidR="00DB6884" w:rsidRDefault="00DB6884" w:rsidP="00F6659B">
      <w:pPr>
        <w:rPr>
          <w:rFonts w:hint="eastAsia"/>
        </w:rPr>
      </w:pPr>
      <w:r>
        <w:separator/>
      </w:r>
    </w:p>
  </w:endnote>
  <w:endnote w:type="continuationSeparator" w:id="0">
    <w:p w14:paraId="41DF9DC8" w14:textId="77777777" w:rsidR="00DB6884" w:rsidRDefault="00DB6884"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13D6B" w14:textId="77777777" w:rsidR="00DB6884" w:rsidRDefault="00DB6884" w:rsidP="00F6659B">
      <w:pPr>
        <w:rPr>
          <w:rFonts w:hint="eastAsia"/>
        </w:rPr>
      </w:pPr>
      <w:r>
        <w:separator/>
      </w:r>
    </w:p>
  </w:footnote>
  <w:footnote w:type="continuationSeparator" w:id="0">
    <w:p w14:paraId="74CA31CD" w14:textId="77777777" w:rsidR="00DB6884" w:rsidRDefault="00DB6884"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20D23"/>
    <w:rsid w:val="00030A19"/>
    <w:rsid w:val="000420AF"/>
    <w:rsid w:val="00052FED"/>
    <w:rsid w:val="000A7AFC"/>
    <w:rsid w:val="000F66F5"/>
    <w:rsid w:val="00100BC2"/>
    <w:rsid w:val="00112B66"/>
    <w:rsid w:val="001644B9"/>
    <w:rsid w:val="00184D6E"/>
    <w:rsid w:val="0019354C"/>
    <w:rsid w:val="0025101B"/>
    <w:rsid w:val="00296C71"/>
    <w:rsid w:val="002A4406"/>
    <w:rsid w:val="002A52A5"/>
    <w:rsid w:val="002C662F"/>
    <w:rsid w:val="00302A27"/>
    <w:rsid w:val="0031187D"/>
    <w:rsid w:val="00320B5F"/>
    <w:rsid w:val="00323874"/>
    <w:rsid w:val="00330EFE"/>
    <w:rsid w:val="003D7773"/>
    <w:rsid w:val="004160E3"/>
    <w:rsid w:val="00447FAF"/>
    <w:rsid w:val="004910B9"/>
    <w:rsid w:val="004B1059"/>
    <w:rsid w:val="004D7210"/>
    <w:rsid w:val="0055260F"/>
    <w:rsid w:val="00562C45"/>
    <w:rsid w:val="0056717F"/>
    <w:rsid w:val="00577E89"/>
    <w:rsid w:val="00586C15"/>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7F0425"/>
    <w:rsid w:val="008A5EA5"/>
    <w:rsid w:val="00915CA8"/>
    <w:rsid w:val="009370AF"/>
    <w:rsid w:val="00942933"/>
    <w:rsid w:val="009626E9"/>
    <w:rsid w:val="00966ED6"/>
    <w:rsid w:val="009856F0"/>
    <w:rsid w:val="009A2F91"/>
    <w:rsid w:val="00A2483F"/>
    <w:rsid w:val="00A65C27"/>
    <w:rsid w:val="00A745FB"/>
    <w:rsid w:val="00AA1133"/>
    <w:rsid w:val="00AB233B"/>
    <w:rsid w:val="00AC477A"/>
    <w:rsid w:val="00AC7237"/>
    <w:rsid w:val="00AD2539"/>
    <w:rsid w:val="00B76A73"/>
    <w:rsid w:val="00B86021"/>
    <w:rsid w:val="00BB1DE7"/>
    <w:rsid w:val="00BD4AE7"/>
    <w:rsid w:val="00C6057B"/>
    <w:rsid w:val="00C833A7"/>
    <w:rsid w:val="00C92B92"/>
    <w:rsid w:val="00CD08B1"/>
    <w:rsid w:val="00D14E33"/>
    <w:rsid w:val="00D267BA"/>
    <w:rsid w:val="00DB6884"/>
    <w:rsid w:val="00E07ABA"/>
    <w:rsid w:val="00E42DC7"/>
    <w:rsid w:val="00E56FE8"/>
    <w:rsid w:val="00E600A3"/>
    <w:rsid w:val="00EC4815"/>
    <w:rsid w:val="00F43D52"/>
    <w:rsid w:val="00F53076"/>
    <w:rsid w:val="00F60898"/>
    <w:rsid w:val="00F61F3A"/>
    <w:rsid w:val="00F6659B"/>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4</Pages>
  <Words>2584</Words>
  <Characters>15845</Characters>
  <Application>Microsoft Office Word</Application>
  <DocSecurity>0</DocSecurity>
  <Lines>396</Lines>
  <Paragraphs>138</Paragraphs>
  <ScaleCrop>false</ScaleCrop>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18</cp:revision>
  <dcterms:created xsi:type="dcterms:W3CDTF">2024-08-03T02:20:00Z</dcterms:created>
  <dcterms:modified xsi:type="dcterms:W3CDTF">2025-07-18T01:54:00Z</dcterms:modified>
</cp:coreProperties>
</file>