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sz w:val="32"/>
        </w:rPr>
        <w:t>BROOKHAVEN REHABILITATION CENTER</w:t>
      </w:r>
    </w:p>
    <w:p>
      <w:pPr>
        <w:spacing w:after="80" w:before="0"/>
        <w:jc w:val="center"/>
      </w:pPr>
      <w:r>
        <w:rPr>
          <w:rFonts w:ascii="Times New Roman" w:hAnsi="Times New Roman"/>
          <w:b/>
          <w:i w:val="0"/>
          <w:sz w:val="28"/>
        </w:rPr>
        <w:t>INCIDENT / OCCURRENCE REPORT</w:t>
      </w:r>
    </w:p>
    <w:p>
      <w:pPr>
        <w:spacing w:after="240" w:before="0"/>
        <w:jc w:val="center"/>
      </w:pPr>
      <w:r>
        <w:rPr>
          <w:rFonts w:ascii="Times New Roman" w:hAnsi="Times New Roman"/>
          <w:b/>
          <w:i/>
          <w:sz w:val="20"/>
        </w:rPr>
        <w:t>CONFIDENTIAL — FOR INTERNAL USE ONLY</w:t>
      </w:r>
    </w:p>
    <w:p>
      <w:pPr>
        <w:spacing w:after="240" w:before="0"/>
      </w:pPr>
      <w:r>
        <w:rPr>
          <w:rFonts w:ascii="Times New Roman" w:hAnsi="Times New Roman"/>
          <w:b w:val="0"/>
          <w:i w:val="0"/>
          <w:sz w:val="16"/>
        </w:rPr>
        <w:t>────────────────────────────────────────────────────────────────────────</w:t>
      </w:r>
    </w:p>
    <w:p>
      <w:pPr>
        <w:spacing w:after="120" w:before="160"/>
      </w:pPr>
      <w:r>
        <w:rPr>
          <w:rFonts w:ascii="Times New Roman" w:hAnsi="Times New Roman"/>
          <w:b/>
          <w:i w:val="0"/>
          <w:sz w:val="26"/>
        </w:rPr>
        <w:t>SECTION 1: INCIDENT DETAILS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Facility:</w:t>
            </w:r>
          </w:p>
        </w:tc>
        <w:tc>
          <w:tcPr>
            <w:tcW w:type="dxa" w:w="2160"/>
          </w:tcPr>
          <w:p>
            <w:r/>
            <w:r>
              <w:rPr>
                <w:b w:val="0"/>
                <w:sz w:val="20"/>
              </w:rPr>
              <w:t>Brookhaven Rehabilitation Center</w:t>
            </w:r>
          </w:p>
        </w:tc>
        <w:tc>
          <w:tcPr>
            <w:tcW w:type="dxa" w:w="2160"/>
          </w:tcPr>
          <w:p>
            <w:r/>
            <w:r>
              <w:rPr>
                <w:b/>
                <w:sz w:val="20"/>
              </w:rPr>
              <w:t>Date of Incident:</w:t>
            </w:r>
          </w:p>
        </w:tc>
        <w:tc>
          <w:tcPr>
            <w:tcW w:type="dxa" w:w="2160"/>
          </w:tcPr>
          <w:p>
            <w:r/>
            <w:r>
              <w:rPr>
                <w:b w:val="0"/>
                <w:sz w:val="20"/>
              </w:rPr>
              <w:t>February 14, 2025</w:t>
            </w:r>
          </w:p>
        </w:tc>
      </w:tr>
      <w:tr>
        <w:tc>
          <w:tcPr>
            <w:tcW w:type="dxa" w:w="2160"/>
          </w:tcPr>
          <w:p>
            <w:r/>
            <w:r>
              <w:rPr>
                <w:b/>
                <w:sz w:val="20"/>
              </w:rPr>
              <w:t>Time of Incident:</w:t>
            </w:r>
          </w:p>
        </w:tc>
        <w:tc>
          <w:tcPr>
            <w:tcW w:type="dxa" w:w="2160"/>
          </w:tcPr>
          <w:p>
            <w:r/>
            <w:r>
              <w:rPr>
                <w:b w:val="0"/>
                <w:sz w:val="20"/>
              </w:rPr>
              <w:t>2:35 PM</w:t>
            </w:r>
          </w:p>
        </w:tc>
        <w:tc>
          <w:tcPr>
            <w:tcW w:type="dxa" w:w="2160"/>
          </w:tcPr>
          <w:p>
            <w:r/>
            <w:r>
              <w:rPr>
                <w:b/>
                <w:sz w:val="20"/>
              </w:rPr>
              <w:t>Location:</w:t>
            </w:r>
          </w:p>
        </w:tc>
        <w:tc>
          <w:tcPr>
            <w:tcW w:type="dxa" w:w="2160"/>
          </w:tcPr>
          <w:p>
            <w:r/>
            <w:r>
              <w:rPr>
                <w:b w:val="0"/>
                <w:sz w:val="20"/>
              </w:rPr>
              <w:t>Room 214, East Wing</w:t>
            </w:r>
          </w:p>
        </w:tc>
      </w:tr>
      <w:tr>
        <w:tc>
          <w:tcPr>
            <w:tcW w:type="dxa" w:w="2160"/>
          </w:tcPr>
          <w:p>
            <w:r/>
            <w:r>
              <w:rPr>
                <w:b/>
                <w:sz w:val="20"/>
              </w:rPr>
              <w:t>Type of Incident:</w:t>
            </w:r>
          </w:p>
        </w:tc>
        <w:tc>
          <w:tcPr>
            <w:tcW w:type="dxa" w:w="2160"/>
          </w:tcPr>
          <w:p>
            <w:r/>
            <w:r>
              <w:rPr>
                <w:b w:val="0"/>
                <w:sz w:val="20"/>
              </w:rPr>
              <w:t>Patient fall</w:t>
            </w:r>
          </w:p>
        </w:tc>
        <w:tc>
          <w:tcPr>
            <w:tcW w:type="dxa" w:w="2160"/>
          </w:tcPr>
          <w:p>
            <w:r/>
            <w:r>
              <w:rPr>
                <w:b/>
                <w:sz w:val="20"/>
              </w:rPr>
              <w:t>Severity:</w:t>
            </w:r>
          </w:p>
        </w:tc>
        <w:tc>
          <w:tcPr>
            <w:tcW w:type="dxa" w:w="2160"/>
          </w:tcPr>
          <w:p>
            <w:r/>
            <w:r>
              <w:rPr>
                <w:b w:val="0"/>
                <w:sz w:val="20"/>
              </w:rPr>
              <w:t>Minor</w:t>
            </w:r>
          </w:p>
        </w:tc>
      </w:tr>
      <w:tr>
        <w:tc>
          <w:tcPr>
            <w:tcW w:type="dxa" w:w="2160"/>
          </w:tcPr>
          <w:p>
            <w:r/>
            <w:r>
              <w:rPr>
                <w:b/>
                <w:sz w:val="20"/>
              </w:rPr>
              <w:t>Person Involved:</w:t>
            </w:r>
          </w:p>
        </w:tc>
        <w:tc>
          <w:tcPr>
            <w:tcW w:type="dxa" w:w="2160"/>
          </w:tcPr>
          <w:p>
            <w:r/>
            <w:r>
              <w:rPr>
                <w:b w:val="0"/>
                <w:sz w:val="20"/>
              </w:rPr>
              <w:t>Margaret Sullivan (Patient)</w:t>
            </w:r>
          </w:p>
        </w:tc>
        <w:tc>
          <w:tcPr>
            <w:tcW w:type="dxa" w:w="2160"/>
          </w:tcPr>
          <w:p>
            <w:r/>
            <w:r>
              <w:rPr>
                <w:b/>
                <w:sz w:val="20"/>
              </w:rPr>
              <w:t>Witness:</w:t>
            </w:r>
          </w:p>
        </w:tc>
        <w:tc>
          <w:tcPr>
            <w:tcW w:type="dxa" w:w="2160"/>
          </w:tcPr>
          <w:p>
            <w:r/>
            <w:r>
              <w:rPr>
                <w:b w:val="0"/>
                <w:sz w:val="20"/>
              </w:rPr>
              <w:t>Nurse Patricia Hayes</w:t>
            </w:r>
          </w:p>
        </w:tc>
      </w:tr>
      <w:tr>
        <w:tc>
          <w:tcPr>
            <w:tcW w:type="dxa" w:w="2160"/>
          </w:tcPr>
          <w:p>
            <w:r/>
            <w:r>
              <w:rPr>
                <w:b/>
                <w:sz w:val="20"/>
              </w:rPr>
              <w:t>Reporting Staff:</w:t>
            </w:r>
          </w:p>
        </w:tc>
        <w:tc>
          <w:tcPr>
            <w:tcW w:type="dxa" w:w="2160"/>
          </w:tcPr>
          <w:p>
            <w:r/>
            <w:r>
              <w:rPr>
                <w:b w:val="0"/>
                <w:sz w:val="20"/>
              </w:rPr>
              <w:t>Charge Nurse David Kim</w:t>
            </w:r>
          </w:p>
        </w:tc>
        <w:tc>
          <w:tcPr>
            <w:tcW w:type="dxa" w:w="2160"/>
          </w:tcPr>
          <w:p>
            <w:r/>
            <w:r>
              <w:rPr>
                <w:b/>
                <w:sz w:val="20"/>
              </w:rPr>
              <w:t>Supervisor Notified:</w:t>
            </w:r>
          </w:p>
        </w:tc>
        <w:tc>
          <w:tcPr>
            <w:tcW w:type="dxa" w:w="2160"/>
          </w:tcPr>
          <w:p>
            <w:r/>
            <w:r>
              <w:rPr>
                <w:b w:val="0"/>
                <w:sz w:val="20"/>
              </w:rPr>
              <w:t>Director of Nursing, Barbara Thompson</w:t>
            </w:r>
          </w:p>
        </w:tc>
      </w:tr>
    </w:tbl>
    <w:p>
      <w:pPr>
        <w:spacing w:after="160" w:before="0"/>
      </w:pPr>
      <w:r>
        <w:rPr>
          <w:rFonts w:ascii="Times New Roman" w:hAnsi="Times New Roman"/>
          <w:b w:val="0"/>
          <w:i w:val="0"/>
          <w:sz w:val="12"/>
        </w:rPr>
      </w:r>
    </w:p>
    <w:p>
      <w:pPr>
        <w:spacing w:after="120" w:before="160"/>
      </w:pPr>
      <w:r>
        <w:rPr>
          <w:rFonts w:ascii="Times New Roman" w:hAnsi="Times New Roman"/>
          <w:b/>
          <w:i w:val="0"/>
          <w:sz w:val="26"/>
        </w:rPr>
        <w:t>SECTION 2: DESCRIPTION OF INCIDENT</w:t>
      </w:r>
    </w:p>
    <w:p>
      <w:pPr>
        <w:spacing w:after="160" w:before="0"/>
      </w:pPr>
      <w:r>
        <w:rPr>
          <w:rFonts w:ascii="Times New Roman" w:hAnsi="Times New Roman"/>
          <w:b w:val="0"/>
          <w:i w:val="0"/>
          <w:sz w:val="22"/>
        </w:rPr>
        <w:t>On February 14, 2025, at approximately 2:35 PM, Sullivan was found on the floor of Room 214, East Wing, by Nurse Patricia Hayes. Sullivan reported that she had attempted to get out of bed unassisted to use the restroom and lost her balance. Hayes immediately called for assistance and Kim responded to the scene.</w:t>
      </w:r>
    </w:p>
    <w:p>
      <w:pPr>
        <w:spacing w:after="200" w:before="0"/>
      </w:pPr>
      <w:r>
        <w:rPr>
          <w:rFonts w:ascii="Times New Roman" w:hAnsi="Times New Roman"/>
          <w:b w:val="0"/>
          <w:i w:val="0"/>
          <w:sz w:val="22"/>
        </w:rPr>
        <w:t>Margaret Sullivan was alert and oriented at the time of the fall. Sullivan denied loss of consciousness, dizziness, or head injury. Initial assessment by Kim revealed a bruise to the left hip; no fracture was suspected based on physical examination.</w:t>
      </w:r>
    </w:p>
    <w:p>
      <w:pPr>
        <w:spacing w:after="120" w:before="160"/>
      </w:pPr>
      <w:r>
        <w:rPr>
          <w:rFonts w:ascii="Times New Roman" w:hAnsi="Times New Roman"/>
          <w:b/>
          <w:i w:val="0"/>
          <w:sz w:val="26"/>
        </w:rPr>
        <w:t>SECTION 3: ACTIONS TAKEN</w:t>
      </w:r>
    </w:p>
    <w:p>
      <w:pPr>
        <w:spacing w:after="200" w:before="0"/>
      </w:pPr>
      <w:r>
        <w:rPr>
          <w:rFonts w:ascii="Times New Roman" w:hAnsi="Times New Roman"/>
          <w:b w:val="0"/>
          <w:i w:val="0"/>
          <w:sz w:val="22"/>
        </w:rPr>
        <w:t>1. Hayes and Kim assisted Sullivan back to bed.</w:t>
        <w:br/>
        <w:t>2. Vital signs were obtained and documented.</w:t>
        <w:br/>
        <w:t>3. Attending physician was notified and orders obtained.</w:t>
        <w:br/>
        <w:t>4. Ice pack applied to left hip.</w:t>
        <w:br/>
        <w:t>5. Fall risk assessment was updated for Sullivan.</w:t>
        <w:br/>
        <w:t>6. Thompson was notified of the incident at 2:50 PM.</w:t>
        <w:br/>
        <w:t>7. Family member (daughter, Lisa Sullivan) was contacted at 3:15 PM.</w:t>
      </w:r>
    </w:p>
    <w:p>
      <w:pPr>
        <w:spacing w:after="120" w:before="160"/>
      </w:pPr>
      <w:r>
        <w:rPr>
          <w:rFonts w:ascii="Times New Roman" w:hAnsi="Times New Roman"/>
          <w:b/>
          <w:i w:val="0"/>
          <w:sz w:val="26"/>
        </w:rPr>
        <w:t>SECTION 4: INJURIES SUSTAINED</w:t>
      </w:r>
    </w:p>
    <w:p>
      <w:pPr>
        <w:spacing w:after="200" w:before="0"/>
      </w:pPr>
      <w:r>
        <w:rPr>
          <w:rFonts w:ascii="Times New Roman" w:hAnsi="Times New Roman"/>
          <w:b w:val="0"/>
          <w:i w:val="0"/>
          <w:sz w:val="22"/>
        </w:rPr>
        <w:t>Sullivan sustained a bruise to the left hip. No fracture was suspected based on physical examination. X-ray was ordered per physician instructions. Sullivan reported pain level of 4/10 at the site of injury.</w:t>
      </w:r>
    </w:p>
    <w:p>
      <w:pPr>
        <w:spacing w:after="120" w:before="160"/>
      </w:pPr>
      <w:r>
        <w:rPr>
          <w:rFonts w:ascii="Times New Roman" w:hAnsi="Times New Roman"/>
          <w:b/>
          <w:i w:val="0"/>
          <w:sz w:val="26"/>
        </w:rPr>
        <w:t>SECTION 5: PREVENTIVE MEASURES</w:t>
      </w:r>
    </w:p>
    <w:p>
      <w:pPr>
        <w:spacing w:after="360" w:before="0"/>
      </w:pPr>
      <w:r>
        <w:rPr>
          <w:rFonts w:ascii="Times New Roman" w:hAnsi="Times New Roman"/>
          <w:b w:val="0"/>
          <w:i w:val="0"/>
          <w:sz w:val="22"/>
        </w:rPr>
        <w:t>1. Bed alarm reactivated for Sullivan.</w:t>
        <w:br/>
        <w:t>2. Call bell placed within reach.</w:t>
        <w:br/>
        <w:t>3. Non-skid footwear provided.</w:t>
        <w:br/>
        <w:t>4. Increased rounding frequency to every 1 hour.</w:t>
        <w:br/>
        <w:t>5. Fall risk care plan updated by Kim.</w:t>
      </w:r>
    </w:p>
    <w:p>
      <w:pPr>
        <w:spacing w:after="80" w:before="0"/>
      </w:pPr>
      <w:r>
        <w:rPr>
          <w:rFonts w:ascii="Times New Roman" w:hAnsi="Times New Roman"/>
          <w:b/>
          <w:i w:val="0"/>
          <w:sz w:val="22"/>
        </w:rPr>
        <w:t>REPORT FILED BY:</w:t>
      </w:r>
    </w:p>
    <w:p>
      <w:pPr>
        <w:spacing w:after="40" w:before="0"/>
      </w:pPr>
      <w:r>
        <w:rPr>
          <w:rFonts w:ascii="Times New Roman" w:hAnsi="Times New Roman"/>
          <w:b w:val="0"/>
          <w:i w:val="0"/>
          <w:sz w:val="22"/>
        </w:rPr>
        <w:t>___________________________________</w:t>
      </w:r>
    </w:p>
    <w:p>
      <w:pPr>
        <w:spacing w:after="80" w:before="0"/>
      </w:pPr>
      <w:r>
        <w:rPr>
          <w:rFonts w:ascii="Times New Roman" w:hAnsi="Times New Roman"/>
          <w:b w:val="0"/>
          <w:i w:val="0"/>
          <w:sz w:val="20"/>
        </w:rPr>
        <w:t>Charge Nurse David Kim</w:t>
      </w:r>
    </w:p>
    <w:p>
      <w:pPr>
        <w:spacing w:after="80" w:before="0"/>
      </w:pPr>
      <w:r>
        <w:rPr>
          <w:rFonts w:ascii="Times New Roman" w:hAnsi="Times New Roman"/>
          <w:b w:val="0"/>
          <w:i w:val="0"/>
          <w:sz w:val="20"/>
        </w:rPr>
        <w:t>Brookhaven Rehabilitation Center</w:t>
      </w:r>
    </w:p>
    <w:p>
      <w:pPr>
        <w:spacing w:after="240" w:before="0"/>
      </w:pPr>
      <w:r>
        <w:rPr>
          <w:rFonts w:ascii="Times New Roman" w:hAnsi="Times New Roman"/>
          <w:b w:val="0"/>
          <w:i w:val="0"/>
          <w:sz w:val="20"/>
        </w:rPr>
        <w:t>Date: February 14, 2025</w:t>
      </w:r>
    </w:p>
    <w:p>
      <w:pPr>
        <w:spacing w:after="80" w:before="0"/>
      </w:pPr>
      <w:r>
        <w:rPr>
          <w:rFonts w:ascii="Times New Roman" w:hAnsi="Times New Roman"/>
          <w:b/>
          <w:i w:val="0"/>
          <w:sz w:val="22"/>
        </w:rPr>
        <w:t>SUPERVISOR REVIEW:</w:t>
      </w:r>
    </w:p>
    <w:p>
      <w:pPr>
        <w:spacing w:after="40" w:before="0"/>
      </w:pPr>
      <w:r>
        <w:rPr>
          <w:rFonts w:ascii="Times New Roman" w:hAnsi="Times New Roman"/>
          <w:b w:val="0"/>
          <w:i w:val="0"/>
          <w:sz w:val="22"/>
        </w:rPr>
        <w:t>___________________________________</w:t>
      </w:r>
    </w:p>
    <w:p>
      <w:pPr>
        <w:spacing w:after="80" w:before="0"/>
      </w:pPr>
      <w:r>
        <w:rPr>
          <w:rFonts w:ascii="Times New Roman" w:hAnsi="Times New Roman"/>
          <w:b w:val="0"/>
          <w:i w:val="0"/>
          <w:sz w:val="20"/>
        </w:rPr>
        <w:t>Barbara Thompson, Director of Nursing</w:t>
      </w:r>
    </w:p>
    <w:p>
      <w:pPr>
        <w:spacing w:after="120" w:before="0"/>
      </w:pPr>
      <w:r>
        <w:rPr>
          <w:rFonts w:ascii="Times New Roman" w:hAnsi="Times New Roman"/>
          <w:b w:val="0"/>
          <w:i w:val="0"/>
          <w:sz w:val="20"/>
        </w:rPr>
        <w:t>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