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32"/>
        </w:rPr>
        <w:t>NOVACHEM INDUSTRIES INC.</w:t>
      </w:r>
    </w:p>
    <w:p>
      <w:pPr>
        <w:spacing w:after="40" w:before="0"/>
        <w:jc w:val="center"/>
      </w:pPr>
      <w:r>
        <w:rPr>
          <w:rFonts w:ascii="Times New Roman" w:hAnsi="Times New Roman"/>
          <w:b w:val="0"/>
          <w:i w:val="0"/>
          <w:sz w:val="20"/>
        </w:rPr>
        <w:t>9200 Chemical Plant Road, Houston, TX 77001</w:t>
      </w:r>
    </w:p>
    <w:p>
      <w:pPr>
        <w:spacing w:after="240" w:before="0"/>
        <w:jc w:val="center"/>
      </w:pPr>
      <w:r>
        <w:rPr>
          <w:rFonts w:ascii="Times New Roman" w:hAnsi="Times New Roman"/>
          <w:b w:val="0"/>
          <w:i w:val="0"/>
          <w:sz w:val="20"/>
        </w:rPr>
        <w:t>Facility ID: TX-EPA-2020-4478</w:t>
      </w:r>
    </w:p>
    <w:p>
      <w:pPr>
        <w:spacing w:after="80" w:before="0"/>
        <w:jc w:val="center"/>
      </w:pPr>
      <w:r>
        <w:rPr>
          <w:rFonts w:ascii="Times New Roman" w:hAnsi="Times New Roman"/>
          <w:b/>
          <w:i w:val="0"/>
          <w:sz w:val="28"/>
        </w:rPr>
        <w:t>QUARTERLY ENVIRONMENTAL COMPLIANCE REPORT</w:t>
      </w:r>
    </w:p>
    <w:p>
      <w:pPr>
        <w:spacing w:after="80" w:before="0"/>
        <w:jc w:val="center"/>
      </w:pPr>
      <w:r>
        <w:rPr>
          <w:rFonts w:ascii="Times New Roman" w:hAnsi="Times New Roman"/>
          <w:b/>
          <w:i w:val="0"/>
          <w:sz w:val="24"/>
        </w:rPr>
        <w:t>Q4 2024 (October 1 - December 31, 2024)</w:t>
      </w:r>
    </w:p>
    <w:p>
      <w:pPr>
        <w:spacing w:after="240" w:before="0"/>
      </w:pPr>
      <w:r>
        <w:rPr>
          <w:rFonts w:ascii="Times New Roman" w:hAnsi="Times New Roman"/>
          <w:b w:val="0"/>
          <w:i w:val="0"/>
          <w:sz w:val="16"/>
        </w:rPr>
        <w:t>────────────────────────────────────────────────────────────────────────</w:t>
      </w:r>
    </w:p>
    <w:p>
      <w:pPr>
        <w:spacing w:after="120" w:before="200"/>
      </w:pPr>
      <w:r>
        <w:rPr>
          <w:rFonts w:ascii="Times New Roman" w:hAnsi="Times New Roman"/>
          <w:b/>
          <w:i w:val="0"/>
          <w:sz w:val="24"/>
        </w:rPr>
        <w:t>REPORT INFORMATION</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Submitted To:</w:t>
            </w:r>
          </w:p>
        </w:tc>
        <w:tc>
          <w:tcPr>
            <w:tcW w:type="dxa" w:w="4320"/>
          </w:tcPr>
          <w:p>
            <w:r/>
            <w:r>
              <w:rPr>
                <w:b w:val="0"/>
                <w:sz w:val="20"/>
              </w:rPr>
              <w:t>Texas Commission on Environmental Quality (TCEQ)</w:t>
            </w:r>
          </w:p>
        </w:tc>
      </w:tr>
      <w:tr>
        <w:tc>
          <w:tcPr>
            <w:tcW w:type="dxa" w:w="4320"/>
          </w:tcPr>
          <w:p>
            <w:r/>
            <w:r>
              <w:rPr>
                <w:b/>
                <w:sz w:val="20"/>
              </w:rPr>
              <w:t>Submitted By:</w:t>
            </w:r>
          </w:p>
        </w:tc>
        <w:tc>
          <w:tcPr>
            <w:tcW w:type="dxa" w:w="4320"/>
          </w:tcPr>
          <w:p>
            <w:r/>
            <w:r>
              <w:rPr>
                <w:b w:val="0"/>
                <w:sz w:val="20"/>
              </w:rPr>
              <w:t>Environmental Compliance Officer, Dr. Patricia Langford</w:t>
            </w:r>
          </w:p>
        </w:tc>
      </w:tr>
      <w:tr>
        <w:tc>
          <w:tcPr>
            <w:tcW w:type="dxa" w:w="4320"/>
          </w:tcPr>
          <w:p>
            <w:r/>
            <w:r>
              <w:rPr>
                <w:b/>
                <w:sz w:val="20"/>
              </w:rPr>
              <w:t>Report Date:</w:t>
            </w:r>
          </w:p>
        </w:tc>
        <w:tc>
          <w:tcPr>
            <w:tcW w:type="dxa" w:w="4320"/>
          </w:tcPr>
          <w:p>
            <w:r/>
            <w:r>
              <w:rPr>
                <w:b w:val="0"/>
                <w:sz w:val="20"/>
              </w:rPr>
              <w:t>January 31, 2025</w:t>
            </w:r>
          </w:p>
        </w:tc>
      </w:tr>
      <w:tr>
        <w:tc>
          <w:tcPr>
            <w:tcW w:type="dxa" w:w="4320"/>
          </w:tcPr>
          <w:p>
            <w:r/>
            <w:r>
              <w:rPr>
                <w:b/>
                <w:sz w:val="20"/>
              </w:rPr>
              <w:t>Reporting Period:</w:t>
            </w:r>
          </w:p>
        </w:tc>
        <w:tc>
          <w:tcPr>
            <w:tcW w:type="dxa" w:w="4320"/>
          </w:tcPr>
          <w:p>
            <w:r/>
            <w:r>
              <w:rPr>
                <w:b w:val="0"/>
                <w:sz w:val="20"/>
              </w:rPr>
              <w:t>Q4 2024 (October 1 - December 31, 2024)</w:t>
            </w:r>
          </w:p>
        </w:tc>
      </w:tr>
      <w:tr>
        <w:tc>
          <w:tcPr>
            <w:tcW w:type="dxa" w:w="4320"/>
          </w:tcPr>
          <w:p>
            <w:r/>
            <w:r>
              <w:rPr>
                <w:b/>
                <w:sz w:val="20"/>
              </w:rPr>
              <w:t>Facility:</w:t>
            </w:r>
          </w:p>
        </w:tc>
        <w:tc>
          <w:tcPr>
            <w:tcW w:type="dxa" w:w="4320"/>
          </w:tcPr>
          <w:p>
            <w:r/>
            <w:r>
              <w:rPr>
                <w:b w:val="0"/>
                <w:sz w:val="20"/>
              </w:rPr>
              <w:t>NovaChem Industries Inc. — Houston Plant</w:t>
            </w:r>
          </w:p>
        </w:tc>
      </w:tr>
    </w:tbl>
    <w:p>
      <w:pPr>
        <w:spacing w:after="160" w:before="0"/>
      </w:pPr>
      <w:r>
        <w:rPr>
          <w:rFonts w:ascii="Times New Roman" w:hAnsi="Times New Roman"/>
          <w:b w:val="0"/>
          <w:i w:val="0"/>
          <w:sz w:val="8"/>
        </w:rPr>
      </w:r>
    </w:p>
    <w:p>
      <w:pPr>
        <w:spacing w:after="120" w:before="200"/>
      </w:pPr>
      <w:r>
        <w:rPr>
          <w:rFonts w:ascii="Times New Roman" w:hAnsi="Times New Roman"/>
          <w:b/>
          <w:i w:val="0"/>
          <w:sz w:val="24"/>
        </w:rPr>
        <w:t>1. EXECUTIVE SUMMARY</w:t>
      </w:r>
    </w:p>
    <w:p>
      <w:pPr>
        <w:spacing w:after="240" w:before="0"/>
      </w:pPr>
      <w:r>
        <w:rPr>
          <w:rFonts w:ascii="Times New Roman" w:hAnsi="Times New Roman"/>
          <w:b w:val="0"/>
          <w:i w:val="0"/>
          <w:sz w:val="22"/>
        </w:rPr>
        <w:t>NovaChem Industries Inc. submits this Quarterly Environmental Compliance Report for the period of Q4 2024 in accordance with TCEQ regulations and applicable federal requirements. During this reporting period, NovaChem maintained compliance with all permitted emission limits and waste disposal requirements. Dr. Langford has reviewed all data contained herein.</w:t>
      </w:r>
    </w:p>
    <w:p>
      <w:pPr>
        <w:spacing w:after="120" w:before="200"/>
      </w:pPr>
      <w:r>
        <w:rPr>
          <w:rFonts w:ascii="Times New Roman" w:hAnsi="Times New Roman"/>
          <w:b/>
          <w:i w:val="0"/>
          <w:sz w:val="24"/>
        </w:rPr>
        <w:t>2. AIR EMISSIONS DATA</w:t>
      </w:r>
    </w:p>
    <w:p>
      <w:pPr>
        <w:spacing w:after="160" w:before="0"/>
      </w:pPr>
      <w:r>
        <w:rPr>
          <w:rFonts w:ascii="Times New Roman" w:hAnsi="Times New Roman"/>
          <w:b w:val="0"/>
          <w:i w:val="0"/>
          <w:sz w:val="22"/>
        </w:rPr>
        <w:t>The following table summarizes air emissions from the NovaChem Houston facility during Q4 2024: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Pollutant</w:t>
            </w:r>
          </w:p>
        </w:tc>
        <w:tc>
          <w:tcPr>
            <w:tcW w:type="dxa" w:w="2160"/>
          </w:tcPr>
          <w:p>
            <w:r/>
            <w:r>
              <w:rPr>
                <w:b/>
                <w:sz w:val="18"/>
              </w:rPr>
              <w:t>Permitted (tons/qtr)</w:t>
            </w:r>
          </w:p>
        </w:tc>
        <w:tc>
          <w:tcPr>
            <w:tcW w:type="dxa" w:w="2160"/>
          </w:tcPr>
          <w:p>
            <w:r/>
            <w:r>
              <w:rPr>
                <w:b/>
                <w:sz w:val="18"/>
              </w:rPr>
              <w:t>Actual (tons/qtr)</w:t>
            </w:r>
          </w:p>
        </w:tc>
        <w:tc>
          <w:tcPr>
            <w:tcW w:type="dxa" w:w="2160"/>
          </w:tcPr>
          <w:p>
            <w:r/>
            <w:r>
              <w:rPr>
                <w:b/>
                <w:sz w:val="18"/>
              </w:rPr>
              <w:t>% of Limit</w:t>
            </w:r>
          </w:p>
        </w:tc>
      </w:tr>
      <w:tr>
        <w:tc>
          <w:tcPr>
            <w:tcW w:type="dxa" w:w="2160"/>
          </w:tcPr>
          <w:p>
            <w:r/>
            <w:r>
              <w:rPr>
                <w:b w:val="0"/>
                <w:sz w:val="18"/>
              </w:rPr>
              <w:t>VOC</w:t>
            </w:r>
          </w:p>
        </w:tc>
        <w:tc>
          <w:tcPr>
            <w:tcW w:type="dxa" w:w="2160"/>
          </w:tcPr>
          <w:p>
            <w:r/>
            <w:r>
              <w:rPr>
                <w:b w:val="0"/>
                <w:sz w:val="18"/>
              </w:rPr>
              <w:t>12.5</w:t>
            </w:r>
          </w:p>
        </w:tc>
        <w:tc>
          <w:tcPr>
            <w:tcW w:type="dxa" w:w="2160"/>
          </w:tcPr>
          <w:p>
            <w:r/>
            <w:r>
              <w:rPr>
                <w:b w:val="0"/>
                <w:sz w:val="18"/>
              </w:rPr>
              <w:t>8.3</w:t>
            </w:r>
          </w:p>
        </w:tc>
        <w:tc>
          <w:tcPr>
            <w:tcW w:type="dxa" w:w="2160"/>
          </w:tcPr>
          <w:p>
            <w:r/>
            <w:r>
              <w:rPr>
                <w:b w:val="0"/>
                <w:sz w:val="18"/>
              </w:rPr>
              <w:t>66.4%</w:t>
            </w:r>
          </w:p>
        </w:tc>
      </w:tr>
      <w:tr>
        <w:tc>
          <w:tcPr>
            <w:tcW w:type="dxa" w:w="2160"/>
          </w:tcPr>
          <w:p>
            <w:r/>
            <w:r>
              <w:rPr>
                <w:b w:val="0"/>
                <w:sz w:val="18"/>
              </w:rPr>
              <w:t>NOx</w:t>
            </w:r>
          </w:p>
        </w:tc>
        <w:tc>
          <w:tcPr>
            <w:tcW w:type="dxa" w:w="2160"/>
          </w:tcPr>
          <w:p>
            <w:r/>
            <w:r>
              <w:rPr>
                <w:b w:val="0"/>
                <w:sz w:val="18"/>
              </w:rPr>
              <w:t>8.0</w:t>
            </w:r>
          </w:p>
        </w:tc>
        <w:tc>
          <w:tcPr>
            <w:tcW w:type="dxa" w:w="2160"/>
          </w:tcPr>
          <w:p>
            <w:r/>
            <w:r>
              <w:rPr>
                <w:b w:val="0"/>
                <w:sz w:val="18"/>
              </w:rPr>
              <w:t>5.7</w:t>
            </w:r>
          </w:p>
        </w:tc>
        <w:tc>
          <w:tcPr>
            <w:tcW w:type="dxa" w:w="2160"/>
          </w:tcPr>
          <w:p>
            <w:r/>
            <w:r>
              <w:rPr>
                <w:b w:val="0"/>
                <w:sz w:val="18"/>
              </w:rPr>
              <w:t>71.3%</w:t>
            </w:r>
          </w:p>
        </w:tc>
      </w:tr>
      <w:tr>
        <w:tc>
          <w:tcPr>
            <w:tcW w:type="dxa" w:w="2160"/>
          </w:tcPr>
          <w:p>
            <w:r/>
            <w:r>
              <w:rPr>
                <w:b w:val="0"/>
                <w:sz w:val="18"/>
              </w:rPr>
              <w:t>SO2</w:t>
            </w:r>
          </w:p>
        </w:tc>
        <w:tc>
          <w:tcPr>
            <w:tcW w:type="dxa" w:w="2160"/>
          </w:tcPr>
          <w:p>
            <w:r/>
            <w:r>
              <w:rPr>
                <w:b w:val="0"/>
                <w:sz w:val="18"/>
              </w:rPr>
              <w:t>3.0</w:t>
            </w:r>
          </w:p>
        </w:tc>
        <w:tc>
          <w:tcPr>
            <w:tcW w:type="dxa" w:w="2160"/>
          </w:tcPr>
          <w:p>
            <w:r/>
            <w:r>
              <w:rPr>
                <w:b w:val="0"/>
                <w:sz w:val="18"/>
              </w:rPr>
              <w:t>1.9</w:t>
            </w:r>
          </w:p>
        </w:tc>
        <w:tc>
          <w:tcPr>
            <w:tcW w:type="dxa" w:w="2160"/>
          </w:tcPr>
          <w:p>
            <w:r/>
            <w:r>
              <w:rPr>
                <w:b w:val="0"/>
                <w:sz w:val="18"/>
              </w:rPr>
              <w:t>63.3%</w:t>
            </w:r>
          </w:p>
        </w:tc>
      </w:tr>
      <w:tr>
        <w:tc>
          <w:tcPr>
            <w:tcW w:type="dxa" w:w="2160"/>
          </w:tcPr>
          <w:p>
            <w:r/>
            <w:r>
              <w:rPr>
                <w:b w:val="0"/>
                <w:sz w:val="18"/>
              </w:rPr>
              <w:t>PM10</w:t>
            </w:r>
          </w:p>
        </w:tc>
        <w:tc>
          <w:tcPr>
            <w:tcW w:type="dxa" w:w="2160"/>
          </w:tcPr>
          <w:p>
            <w:r/>
            <w:r>
              <w:rPr>
                <w:b w:val="0"/>
                <w:sz w:val="18"/>
              </w:rPr>
              <w:t>2.0</w:t>
            </w:r>
          </w:p>
        </w:tc>
        <w:tc>
          <w:tcPr>
            <w:tcW w:type="dxa" w:w="2160"/>
          </w:tcPr>
          <w:p>
            <w:r/>
            <w:r>
              <w:rPr>
                <w:b w:val="0"/>
                <w:sz w:val="18"/>
              </w:rPr>
              <w:t>1.2</w:t>
            </w:r>
          </w:p>
        </w:tc>
        <w:tc>
          <w:tcPr>
            <w:tcW w:type="dxa" w:w="2160"/>
          </w:tcPr>
          <w:p>
            <w:r/>
            <w:r>
              <w:rPr>
                <w:b w:val="0"/>
                <w:sz w:val="18"/>
              </w:rPr>
              <w:t>60.0%</w:t>
            </w:r>
          </w:p>
        </w:tc>
      </w:tr>
    </w:tbl>
    <w:p>
      <w:pPr>
        <w:spacing w:after="160" w:before="0"/>
      </w:pPr>
      <w:r>
        <w:rPr>
          <w:rFonts w:ascii="Times New Roman" w:hAnsi="Times New Roman"/>
          <w:b w:val="0"/>
          <w:i w:val="0"/>
          <w:sz w:val="8"/>
        </w:rPr>
      </w:r>
    </w:p>
    <w:p>
      <w:pPr>
        <w:spacing w:after="120" w:before="200"/>
      </w:pPr>
      <w:r>
        <w:rPr>
          <w:rFonts w:ascii="Times New Roman" w:hAnsi="Times New Roman"/>
          <w:b/>
          <w:i w:val="0"/>
          <w:sz w:val="24"/>
        </w:rPr>
        <w:t>3. WASTE DISPOSAL RECORDS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Waste Stream</w:t>
            </w:r>
          </w:p>
        </w:tc>
        <w:tc>
          <w:tcPr>
            <w:tcW w:type="dxa" w:w="2160"/>
          </w:tcPr>
          <w:p>
            <w:r/>
            <w:r>
              <w:rPr>
                <w:b/>
                <w:sz w:val="18"/>
              </w:rPr>
              <w:t>EPA Code</w:t>
            </w:r>
          </w:p>
        </w:tc>
        <w:tc>
          <w:tcPr>
            <w:tcW w:type="dxa" w:w="2160"/>
          </w:tcPr>
          <w:p>
            <w:r/>
            <w:r>
              <w:rPr>
                <w:b/>
                <w:sz w:val="18"/>
              </w:rPr>
              <w:t>Quantity (lbs)</w:t>
            </w:r>
          </w:p>
        </w:tc>
        <w:tc>
          <w:tcPr>
            <w:tcW w:type="dxa" w:w="2160"/>
          </w:tcPr>
          <w:p>
            <w:r/>
            <w:r>
              <w:rPr>
                <w:b/>
                <w:sz w:val="18"/>
              </w:rPr>
              <w:t>Disposal Method</w:t>
            </w:r>
          </w:p>
        </w:tc>
      </w:tr>
      <w:tr>
        <w:tc>
          <w:tcPr>
            <w:tcW w:type="dxa" w:w="2160"/>
          </w:tcPr>
          <w:p>
            <w:r/>
            <w:r>
              <w:rPr>
                <w:b w:val="0"/>
                <w:sz w:val="18"/>
              </w:rPr>
              <w:t>Spent Solvents</w:t>
            </w:r>
          </w:p>
        </w:tc>
        <w:tc>
          <w:tcPr>
            <w:tcW w:type="dxa" w:w="2160"/>
          </w:tcPr>
          <w:p>
            <w:r/>
            <w:r>
              <w:rPr>
                <w:b w:val="0"/>
                <w:sz w:val="18"/>
              </w:rPr>
              <w:t>D001</w:t>
            </w:r>
          </w:p>
        </w:tc>
        <w:tc>
          <w:tcPr>
            <w:tcW w:type="dxa" w:w="2160"/>
          </w:tcPr>
          <w:p>
            <w:r/>
            <w:r>
              <w:rPr>
                <w:b w:val="0"/>
                <w:sz w:val="18"/>
              </w:rPr>
              <w:t>14,200</w:t>
            </w:r>
          </w:p>
        </w:tc>
        <w:tc>
          <w:tcPr>
            <w:tcW w:type="dxa" w:w="2160"/>
          </w:tcPr>
          <w:p>
            <w:r/>
            <w:r>
              <w:rPr>
                <w:b w:val="0"/>
                <w:sz w:val="18"/>
              </w:rPr>
              <w:t>Licensed Incinerator</w:t>
            </w:r>
          </w:p>
        </w:tc>
      </w:tr>
      <w:tr>
        <w:tc>
          <w:tcPr>
            <w:tcW w:type="dxa" w:w="2160"/>
          </w:tcPr>
          <w:p>
            <w:r/>
            <w:r>
              <w:rPr>
                <w:b w:val="0"/>
                <w:sz w:val="18"/>
              </w:rPr>
              <w:t>Heavy Metal Sludge</w:t>
            </w:r>
          </w:p>
        </w:tc>
        <w:tc>
          <w:tcPr>
            <w:tcW w:type="dxa" w:w="2160"/>
          </w:tcPr>
          <w:p>
            <w:r/>
            <w:r>
              <w:rPr>
                <w:b w:val="0"/>
                <w:sz w:val="18"/>
              </w:rPr>
              <w:t>D007</w:t>
            </w:r>
          </w:p>
        </w:tc>
        <w:tc>
          <w:tcPr>
            <w:tcW w:type="dxa" w:w="2160"/>
          </w:tcPr>
          <w:p>
            <w:r/>
            <w:r>
              <w:rPr>
                <w:b w:val="0"/>
                <w:sz w:val="18"/>
              </w:rPr>
              <w:t>6,800</w:t>
            </w:r>
          </w:p>
        </w:tc>
        <w:tc>
          <w:tcPr>
            <w:tcW w:type="dxa" w:w="2160"/>
          </w:tcPr>
          <w:p>
            <w:r/>
            <w:r>
              <w:rPr>
                <w:b w:val="0"/>
                <w:sz w:val="18"/>
              </w:rPr>
              <w:t>Secure Landfill</w:t>
            </w:r>
          </w:p>
        </w:tc>
      </w:tr>
      <w:tr>
        <w:tc>
          <w:tcPr>
            <w:tcW w:type="dxa" w:w="2160"/>
          </w:tcPr>
          <w:p>
            <w:r/>
            <w:r>
              <w:rPr>
                <w:b w:val="0"/>
                <w:sz w:val="18"/>
              </w:rPr>
              <w:t>Lab Chemical Waste</w:t>
            </w:r>
          </w:p>
        </w:tc>
        <w:tc>
          <w:tcPr>
            <w:tcW w:type="dxa" w:w="2160"/>
          </w:tcPr>
          <w:p>
            <w:r/>
            <w:r>
              <w:rPr>
                <w:b w:val="0"/>
                <w:sz w:val="18"/>
              </w:rPr>
              <w:t>D002</w:t>
            </w:r>
          </w:p>
        </w:tc>
        <w:tc>
          <w:tcPr>
            <w:tcW w:type="dxa" w:w="2160"/>
          </w:tcPr>
          <w:p>
            <w:r/>
            <w:r>
              <w:rPr>
                <w:b w:val="0"/>
                <w:sz w:val="18"/>
              </w:rPr>
              <w:t>2,100</w:t>
            </w:r>
          </w:p>
        </w:tc>
        <w:tc>
          <w:tcPr>
            <w:tcW w:type="dxa" w:w="2160"/>
          </w:tcPr>
          <w:p>
            <w:r/>
            <w:r>
              <w:rPr>
                <w:b w:val="0"/>
                <w:sz w:val="18"/>
              </w:rPr>
              <w:t>Chemical Treatment</w:t>
            </w:r>
          </w:p>
        </w:tc>
      </w:tr>
    </w:tbl>
    <w:p>
      <w:pPr>
        <w:spacing w:after="160" w:before="0"/>
      </w:pPr>
      <w:r>
        <w:rPr>
          <w:rFonts w:ascii="Times New Roman" w:hAnsi="Times New Roman"/>
          <w:b w:val="0"/>
          <w:i w:val="0"/>
          <w:sz w:val="8"/>
        </w:rPr>
      </w:r>
    </w:p>
    <w:p>
      <w:pPr>
        <w:spacing w:after="120" w:before="200"/>
      </w:pPr>
      <w:r>
        <w:rPr>
          <w:rFonts w:ascii="Times New Roman" w:hAnsi="Times New Roman"/>
          <w:b/>
          <w:i w:val="0"/>
          <w:sz w:val="24"/>
        </w:rPr>
        <w:t>4. INCIDENT LOG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Date</w:t>
            </w:r>
          </w:p>
        </w:tc>
        <w:tc>
          <w:tcPr>
            <w:tcW w:type="dxa" w:w="2160"/>
          </w:tcPr>
          <w:p>
            <w:r/>
            <w:r>
              <w:rPr>
                <w:b/>
                <w:sz w:val="18"/>
              </w:rPr>
              <w:t>Description</w:t>
            </w:r>
          </w:p>
        </w:tc>
        <w:tc>
          <w:tcPr>
            <w:tcW w:type="dxa" w:w="2160"/>
          </w:tcPr>
          <w:p>
            <w:r/>
            <w:r>
              <w:rPr>
                <w:b/>
                <w:sz w:val="18"/>
              </w:rPr>
              <w:t>Corrective Action</w:t>
            </w:r>
          </w:p>
        </w:tc>
        <w:tc>
          <w:tcPr>
            <w:tcW w:type="dxa" w:w="2160"/>
          </w:tcPr>
          <w:p>
            <w:r/>
            <w:r>
              <w:rPr>
                <w:b/>
                <w:sz w:val="18"/>
              </w:rPr>
              <w:t>Status</w:t>
            </w:r>
          </w:p>
        </w:tc>
      </w:tr>
      <w:tr>
        <w:tc>
          <w:tcPr>
            <w:tcW w:type="dxa" w:w="2160"/>
          </w:tcPr>
          <w:p>
            <w:r/>
            <w:r>
              <w:rPr>
                <w:b w:val="0"/>
                <w:sz w:val="18"/>
              </w:rPr>
              <w:t>Oct 14, 2024</w:t>
            </w:r>
          </w:p>
        </w:tc>
        <w:tc>
          <w:tcPr>
            <w:tcW w:type="dxa" w:w="2160"/>
          </w:tcPr>
          <w:p>
            <w:r/>
            <w:r>
              <w:rPr>
                <w:b w:val="0"/>
                <w:sz w:val="18"/>
              </w:rPr>
              <w:t>Minor VOC release from storage tank valve</w:t>
            </w:r>
          </w:p>
        </w:tc>
        <w:tc>
          <w:tcPr>
            <w:tcW w:type="dxa" w:w="2160"/>
          </w:tcPr>
          <w:p>
            <w:r/>
            <w:r>
              <w:rPr>
                <w:b w:val="0"/>
                <w:sz w:val="18"/>
              </w:rPr>
              <w:t>Valve replaced, area monitored</w:t>
            </w:r>
          </w:p>
        </w:tc>
        <w:tc>
          <w:tcPr>
            <w:tcW w:type="dxa" w:w="2160"/>
          </w:tcPr>
          <w:p>
            <w:r/>
            <w:r>
              <w:rPr>
                <w:b w:val="0"/>
                <w:sz w:val="18"/>
              </w:rPr>
              <w:t>Closed</w:t>
            </w:r>
          </w:p>
        </w:tc>
      </w:tr>
      <w:tr>
        <w:tc>
          <w:tcPr>
            <w:tcW w:type="dxa" w:w="2160"/>
          </w:tcPr>
          <w:p>
            <w:r/>
            <w:r>
              <w:rPr>
                <w:b w:val="0"/>
                <w:sz w:val="18"/>
              </w:rPr>
              <w:t>Nov 22, 2024</w:t>
            </w:r>
          </w:p>
        </w:tc>
        <w:tc>
          <w:tcPr>
            <w:tcW w:type="dxa" w:w="2160"/>
          </w:tcPr>
          <w:p>
            <w:r/>
            <w:r>
              <w:rPr>
                <w:b w:val="0"/>
                <w:sz w:val="18"/>
              </w:rPr>
              <w:t>Wastewater pH excursion (pH 5.8, limit 6.0)</w:t>
            </w:r>
          </w:p>
        </w:tc>
        <w:tc>
          <w:tcPr>
            <w:tcW w:type="dxa" w:w="2160"/>
          </w:tcPr>
          <w:p>
            <w:r/>
            <w:r>
              <w:rPr>
                <w:b w:val="0"/>
                <w:sz w:val="18"/>
              </w:rPr>
              <w:t>Neutralization adjusted, retested</w:t>
            </w:r>
          </w:p>
        </w:tc>
        <w:tc>
          <w:tcPr>
            <w:tcW w:type="dxa" w:w="2160"/>
          </w:tcPr>
          <w:p>
            <w:r/>
            <w:r>
              <w:rPr>
                <w:b w:val="0"/>
                <w:sz w:val="18"/>
              </w:rPr>
              <w:t>Closed</w:t>
            </w:r>
          </w:p>
        </w:tc>
      </w:tr>
    </w:tbl>
    <w:p>
      <w:pPr>
        <w:spacing w:after="160" w:before="0"/>
      </w:pPr>
      <w:r>
        <w:rPr>
          <w:rFonts w:ascii="Times New Roman" w:hAnsi="Times New Roman"/>
          <w:b w:val="0"/>
          <w:i w:val="0"/>
          <w:sz w:val="8"/>
        </w:rPr>
      </w:r>
    </w:p>
    <w:p>
      <w:pPr>
        <w:spacing w:after="120" w:before="200"/>
      </w:pPr>
      <w:r>
        <w:rPr>
          <w:rFonts w:ascii="Times New Roman" w:hAnsi="Times New Roman"/>
          <w:b/>
          <w:i w:val="0"/>
          <w:sz w:val="24"/>
        </w:rPr>
        <w:t>5. CERTIFICATION</w:t>
      </w:r>
    </w:p>
    <w:p>
      <w:pPr>
        <w:spacing w:after="240" w:before="0"/>
      </w:pPr>
      <w:r>
        <w:rPr>
          <w:rFonts w:ascii="Times New Roman" w:hAnsi="Times New Roman"/>
          <w:b w:val="0"/>
          <w:i w:val="0"/>
          <w:sz w:val="22"/>
        </w:rPr>
        <w:t>I certify under penalty of law that this report is true, complete, and accurate. This document has been prepared under the direction and supervision of qualified personnel at NOVACHEM INDUSTRIES INC. Any violations or deviations from permitted limits have been reported and addressed as described herein.</w:t>
      </w:r>
    </w:p>
    <w:p>
      <w:pPr>
        <w:spacing w:after="40" w:before="0"/>
      </w:pPr>
      <w:r>
        <w:rPr>
          <w:rFonts w:ascii="Times New Roman" w:hAnsi="Times New Roman"/>
          <w:b w:val="0"/>
          <w:i w:val="0"/>
          <w:sz w:val="22"/>
        </w:rPr>
        <w:t>___________________________________</w:t>
      </w:r>
    </w:p>
    <w:p>
      <w:pPr>
        <w:spacing w:after="40" w:before="0"/>
      </w:pPr>
      <w:r>
        <w:rPr>
          <w:rFonts w:ascii="Times New Roman" w:hAnsi="Times New Roman"/>
          <w:b w:val="0"/>
          <w:i w:val="0"/>
          <w:sz w:val="22"/>
        </w:rPr>
        <w:t>Dr. Patricia Langford</w:t>
      </w:r>
    </w:p>
    <w:p>
      <w:pPr>
        <w:spacing w:after="40" w:before="0"/>
      </w:pPr>
      <w:r>
        <w:rPr>
          <w:rFonts w:ascii="Times New Roman" w:hAnsi="Times New Roman"/>
          <w:b w:val="0"/>
          <w:i w:val="0"/>
          <w:sz w:val="20"/>
        </w:rPr>
        <w:t>Environmental Compliance Officer</w:t>
      </w:r>
    </w:p>
    <w:p>
      <w:pPr>
        <w:spacing w:after="40" w:before="0"/>
      </w:pPr>
      <w:r>
        <w:rPr>
          <w:rFonts w:ascii="Times New Roman" w:hAnsi="Times New Roman"/>
          <w:b w:val="0"/>
          <w:i w:val="0"/>
          <w:sz w:val="20"/>
        </w:rPr>
        <w:t>NovaChem Industries Inc.</w:t>
      </w:r>
    </w:p>
    <w:p>
      <w:pPr>
        <w:spacing w:after="240" w:before="0"/>
      </w:pPr>
      <w:r>
        <w:rPr>
          <w:rFonts w:ascii="Times New Roman" w:hAnsi="Times New Roman"/>
          <w:b w:val="0"/>
          <w:i w:val="0"/>
          <w:sz w:val="20"/>
        </w:rPr>
        <w:t>Date: January 31, 2025</w:t>
      </w:r>
    </w:p>
    <w:p>
      <w:pPr>
        <w:spacing w:after="40" w:before="0"/>
      </w:pPr>
      <w:r>
        <w:rPr>
          <w:rFonts w:ascii="Times New Roman" w:hAnsi="Times New Roman"/>
          <w:b w:val="0"/>
          <w:i/>
          <w:sz w:val="20"/>
        </w:rPr>
        <w:t>Submitted to: Texas Commission on Environmental Quality (TCEQ)</w:t>
      </w:r>
    </w:p>
    <w:p>
      <w:pPr>
        <w:spacing w:after="120" w:before="0"/>
      </w:pPr>
      <w:r>
        <w:rPr>
          <w:rFonts w:ascii="Times New Roman" w:hAnsi="Times New Roman"/>
          <w:b w:val="0"/>
          <w:i/>
          <w:sz w:val="20"/>
        </w:rPr>
        <w:t>Facility ID: TX-EPA-2020-4478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