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Life quality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Behavioral Risk Factor Data: Health-Related Quality of Life (HRQOL). (2016, May 8). Retrieved September 13, 2016, from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"http://catalog.data.gov/dataset/behavioral-risk-factor-data-health-related-quality-of-life-hrqol" </w:instrTex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 w:cs="Times New Roman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http://catalog.data.gov/dataset/behavioral-risk-factor-data-health-related-quality-of-life-hrqol</w: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Access &amp; Use Information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"" \l "accessLevel" </w:instrTex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 w:cs="Times New Roman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Public:</w: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 This dataset is intended for public access and use.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License: Open Database License (ODbL)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Interesting reason:</w:t>
      </w:r>
      <w:r>
        <w:rPr>
          <w:rFonts w:hint="default" w:ascii="Times New Roman" w:hAnsi="Times New Roman" w:cs="Times New Roman"/>
          <w:b w:val="0"/>
          <w:color w:val="000000" w:themeColor="text1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It’s a dataset th</w:t>
      </w:r>
      <w:r>
        <w:rPr>
          <w:rFonts w:hint="default" w:ascii="Times New Roman" w:hAnsi="Times New Roman" w:cs="Times New Roman"/>
          <w:b w:val="0"/>
          <w:color w:val="000000" w:themeColor="text1"/>
          <w:kern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at about behavioral risk factor data: health-related quality of life (HRQOL). The research’s </w:t>
      </w:r>
      <w:r>
        <w:rPr>
          <w:rFonts w:hint="default" w:ascii="Times New Roman" w:hAnsi="Times New Roman" w:cs="Times New Roman"/>
          <w:b w:val="0"/>
          <w:color w:val="000000" w:themeColor="text1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surveillance is used to identify unmet population health needs including recognizing trends, disparities, and determinants of health in the population. It combines the behavior and health I think the idea is interesting and useful.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Potential data users and decision-makers for this data:</w:t>
      </w:r>
      <w:r>
        <w:rPr>
          <w:rFonts w:hint="default" w:ascii="Times New Roman" w:hAnsi="Times New Roman" w:cs="Times New Roman"/>
          <w:b w:val="0"/>
          <w:color w:val="000000" w:themeColor="text1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Centers for Disease Control and Prevention; general public who is care about healthy life.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kern w:val="44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kern w:val="44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Three questions this data might help to answer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44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How does the low confidence limit and high confidence limit affect people’s </w: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health-related quality of life.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How does the age affect people’s behavior.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What area has the best health-related quality of life and what area has the worst one.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 NBA competition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Michalski, K., Simic, N., M., Grasso, J., I., Leonardo, F., . . . Hamel, M. (n.d.). Pro Basketball Statistics - NBA ABA ABL NBL FIBA Basketball Statistics, Stats, History, Records - nbastats.net. Retrieved September 13, 2016, from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"http://www.nbastats.net/" </w:instrTex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 w:cs="Times New Roman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http://www.nbastats.net/</w: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6850" cy="2647950"/>
            <wp:effectExtent l="0" t="0" r="0" b="0"/>
            <wp:docPr id="2" name="图片 1" descr="wpsDD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wpsDDAF.t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Access &amp; Use Information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"" \l "accessLevel" </w:instrTex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 w:cs="Times New Roman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Public:</w: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 This dataset is intended for public access and use.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Interesting reason:</w: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 I think these data are popular for basketball fan especially who like to do some research of the important competition. This dataset link the fun and specific data analysis together, which I think is great.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Potential data users and decision-makers for this data:</w: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 basketball tournament narrator; players themselves and their couches; basketball enthusiasts.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kern w:val="44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kern w:val="44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Three questions this data might help to answer: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kern w:val="44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44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Who in the one specific season (1981-82 - 1984-85) has the best FG (</w: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the total number of field goals made</w:t>
      </w:r>
      <w:r>
        <w:rPr>
          <w:rFonts w:hint="default" w:ascii="Times New Roman" w:hAnsi="Times New Roman" w:eastAsia="宋体" w:cs="Times New Roman"/>
          <w:color w:val="000000" w:themeColor="text1"/>
          <w:kern w:val="44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).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kern w:val="44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44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Which team played more stable.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0000" w:themeColor="text1"/>
          <w:kern w:val="44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44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Which team has the most potential.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0000" w:themeColor="text1"/>
          <w:kern w:val="44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kern w:val="44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44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Times New Roman" w:hAnsi="Times New Roman" w:eastAsia="宋体" w:cs="Times New Roman"/>
          <w:color w:val="000000" w:themeColor="text1"/>
          <w:kern w:val="44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 Traffic violations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color w:val="000000" w:themeColor="text1"/>
          <w:kern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Traffic Violations. (2016, September 08). Retrieved September 14, 2016, from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"http://catalog.data.gov/dataset/traffic-violations-56dda" </w:instrTex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 w:cs="Times New Roman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http://catalog.data.gov/dataset/traffic-violations-56dda</w: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Access &amp; Use Information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"" \l "accessLevel" </w:instrTex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 w:cs="Times New Roman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Public:</w: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 This dataset is intended for public access and use.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Non-Federal: This dataset is covered by different Terms of Use than Data.gov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Interesting reason: </w: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This issue is relevant to our daily life and life safety. Also, this dataset is very in detail.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Potential data users and decision-makers for this data: Governments or officials related to traffic management, control and rule makers; General people who care about driving safety especially those who live in Montgomery; automobile manufacturers and their agencies.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kern w:val="44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kern w:val="44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Three questions this data might help to answer: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kern w:val="44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44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Which specific area is easier to occur traffic violations.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kern w:val="44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44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What type of automobile is easier to break the traffic laws. In other words, which one has lower security level.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kern w:val="44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44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What action may lead drivers to severe accidents.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eastAsia="宋体" w:cs="Times New Roman"/>
          <w:color w:val="000000" w:themeColor="text1"/>
          <w:kern w:val="44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color w:val="000000" w:themeColor="text1"/>
          <w:kern w:val="44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word count:</w:t>
      </w:r>
      <w:r>
        <w:rPr>
          <w:rFonts w:hint="default" w:ascii="Times New Roman" w:hAnsi="Times New Roman" w:eastAsia="宋体" w:cs="Times New Roman"/>
          <w:color w:val="000000" w:themeColor="text1"/>
          <w:kern w:val="44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color w:val="000000" w:themeColor="text1"/>
          <w:kern w:val="44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  <w:instrText xml:space="preserve"> DOCPROPERTY Words \* MERGEFORMAT </w:instrText>
      </w:r>
      <w:r>
        <w:rPr>
          <w:rFonts w:hint="default" w:ascii="Times New Roman" w:hAnsi="Times New Roman" w:eastAsia="宋体" w:cs="Times New Roman"/>
          <w:color w:val="000000" w:themeColor="text1"/>
          <w:kern w:val="44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eastAsia="宋体" w:cs="Times New Roman"/>
          <w:color w:val="000000" w:themeColor="text1"/>
          <w:kern w:val="44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  <w:t>460</w:t>
      </w:r>
      <w:r>
        <w:rPr>
          <w:rFonts w:hint="default" w:ascii="Times New Roman" w:hAnsi="Times New Roman" w:eastAsia="宋体" w:cs="Times New Roman"/>
          <w:color w:val="000000" w:themeColor="text1"/>
          <w:kern w:val="44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  <w:fldChar w:fldCharType="end"/>
      </w:r>
    </w:p>
    <w:sectPr>
      <w:headerReference r:id="rId3" w:type="default"/>
      <w:pgSz w:w="11906" w:h="16838"/>
      <w:pgMar w:top="1440" w:right="1440" w:bottom="1440" w:left="1440" w:header="851" w:footer="992" w:gutter="0"/>
      <w:pgNumType w:fmt="decimal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Zhenye Ma</w:t>
    </w:r>
  </w:p>
  <w:p>
    <w:pPr>
      <w:pStyle w:val="6"/>
      <w:rPr>
        <w:rFonts w:hint="eastAsia"/>
        <w:lang w:val="en-US" w:eastAsia="zh-CN"/>
      </w:rPr>
    </w:pPr>
    <w:r>
      <w:rPr>
        <w:rFonts w:hint="eastAsia"/>
        <w:lang w:val="en-US" w:eastAsia="zh-CN"/>
      </w:rPr>
      <w:t>zhenye@umd.edu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98149"/>
    <w:multiLevelType w:val="multilevel"/>
    <w:tmpl w:val="57D98149"/>
    <w:lvl w:ilvl="0" w:tentative="0">
      <w:start w:val="1"/>
      <w:numFmt w:val="decimal"/>
      <w:suff w:val="space"/>
      <w:lvlText w:val="%1)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7D98154"/>
    <w:multiLevelType w:val="multilevel"/>
    <w:tmpl w:val="57D98154"/>
    <w:lvl w:ilvl="0" w:tentative="0">
      <w:start w:val="1"/>
      <w:numFmt w:val="decimal"/>
      <w:suff w:val="space"/>
      <w:lvlText w:val="%1)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7D9815F"/>
    <w:multiLevelType w:val="multilevel"/>
    <w:tmpl w:val="57D9815F"/>
    <w:lvl w:ilvl="0" w:tentative="0">
      <w:start w:val="1"/>
      <w:numFmt w:val="decimal"/>
      <w:suff w:val="space"/>
      <w:lvlText w:val="%1)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31C5E"/>
    <w:rsid w:val="035123F4"/>
    <w:rsid w:val="0604371F"/>
    <w:rsid w:val="0B373A48"/>
    <w:rsid w:val="19901FC3"/>
    <w:rsid w:val="1FDA31B6"/>
    <w:rsid w:val="246D0A5E"/>
    <w:rsid w:val="246D2675"/>
    <w:rsid w:val="31131C5E"/>
    <w:rsid w:val="39DB4D9A"/>
    <w:rsid w:val="3A45721B"/>
    <w:rsid w:val="460D492C"/>
    <w:rsid w:val="48FA5FED"/>
    <w:rsid w:val="52EA5F18"/>
    <w:rsid w:val="53F75DD2"/>
    <w:rsid w:val="54437C04"/>
    <w:rsid w:val="54DB7609"/>
    <w:rsid w:val="5B7A18C4"/>
    <w:rsid w:val="5E0943B1"/>
    <w:rsid w:val="5ED0161D"/>
    <w:rsid w:val="60D87615"/>
    <w:rsid w:val="63A86343"/>
    <w:rsid w:val="63D8309C"/>
    <w:rsid w:val="675B4562"/>
    <w:rsid w:val="6A3742A2"/>
    <w:rsid w:val="7A9A2770"/>
    <w:rsid w:val="7F656BC6"/>
    <w:rsid w:val="7F7C58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customStyle="1" w:styleId="12">
    <w:name w:val="标题 1 字符"/>
    <w:basedOn w:val="7"/>
    <w:link w:val="2"/>
    <w:uiPriority w:val="0"/>
    <w:rPr>
      <w:rFonts w:hint="eastAsia" w:ascii="宋体" w:hAnsi="宋体" w:eastAsia="宋体" w:cs="宋体"/>
      <w:b/>
      <w:kern w:val="44"/>
      <w:sz w:val="48"/>
      <w:szCs w:val="48"/>
    </w:rPr>
  </w:style>
  <w:style w:type="character" w:customStyle="1" w:styleId="13">
    <w:name w:val="15"/>
    <w:basedOn w:val="7"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2016-09-14T01:23:00Z</dcterms:created>
  <dc:creator>Administrator</dc:creator>
  <cp:lastModifiedBy>Administrator</cp:lastModifiedBy>
  <dcterms:modified xsi:type="dcterms:W3CDTF">2016-09-14T17:40:17Z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