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44078" w:rsidRDefault="00380A19" w:rsidP="00F53C99">
      <w:pPr>
        <w:spacing w:line="360" w:lineRule="auto"/>
        <w:ind w:left="380" w:hanging="360"/>
        <w:jc w:val="center"/>
      </w:pPr>
      <w:r>
        <w:rPr>
          <w:rFonts w:ascii="Times New Roman" w:eastAsia="Times New Roman" w:hAnsi="Times New Roman" w:cs="Times New Roman"/>
          <w:b/>
          <w:color w:val="2D3B45"/>
          <w:highlight w:val="white"/>
        </w:rPr>
        <w:t>Project Summary</w:t>
      </w:r>
      <w:bookmarkStart w:id="0" w:name="_GoBack"/>
      <w:bookmarkEnd w:id="0"/>
    </w:p>
    <w:p w:rsidR="00044078" w:rsidRDefault="00380A19" w:rsidP="00F53C99">
      <w:pPr>
        <w:spacing w:line="360" w:lineRule="auto"/>
        <w:ind w:left="380" w:hanging="360"/>
      </w:pPr>
      <w:r>
        <w:rPr>
          <w:rFonts w:ascii="Times New Roman" w:eastAsia="Times New Roman" w:hAnsi="Times New Roman" w:cs="Times New Roman"/>
          <w:color w:val="2D3B45"/>
          <w:highlight w:val="white"/>
        </w:rPr>
        <w:t xml:space="preserve">·   </w:t>
      </w:r>
      <w:r>
        <w:rPr>
          <w:rFonts w:ascii="Times New Roman" w:eastAsia="Times New Roman" w:hAnsi="Times New Roman" w:cs="Times New Roman"/>
          <w:color w:val="2D3B45"/>
          <w:highlight w:val="white"/>
        </w:rPr>
        <w:tab/>
      </w:r>
    </w:p>
    <w:p w:rsidR="00044078" w:rsidRDefault="00380A19" w:rsidP="00F53C99">
      <w:pPr>
        <w:spacing w:line="360" w:lineRule="auto"/>
        <w:ind w:left="380" w:hanging="360"/>
      </w:pPr>
      <w:r>
        <w:rPr>
          <w:rFonts w:ascii="Times New Roman" w:eastAsia="Times New Roman" w:hAnsi="Times New Roman" w:cs="Times New Roman"/>
          <w:b/>
          <w:highlight w:val="white"/>
        </w:rPr>
        <w:t>Target Audience</w:t>
      </w:r>
    </w:p>
    <w:p w:rsidR="00044078" w:rsidRDefault="00380A19" w:rsidP="00F53C99">
      <w:pPr>
        <w:spacing w:line="360" w:lineRule="auto"/>
      </w:pPr>
      <w:r>
        <w:rPr>
          <w:rFonts w:ascii="Times New Roman" w:eastAsia="Times New Roman" w:hAnsi="Times New Roman" w:cs="Times New Roman"/>
        </w:rPr>
        <w:t xml:space="preserve"> </w:t>
      </w:r>
    </w:p>
    <w:p w:rsidR="00044078" w:rsidRDefault="00380A19" w:rsidP="00F53C99">
      <w:pPr>
        <w:spacing w:line="360" w:lineRule="auto"/>
      </w:pPr>
      <w:r>
        <w:rPr>
          <w:rFonts w:ascii="Times New Roman" w:eastAsia="Times New Roman" w:hAnsi="Times New Roman" w:cs="Times New Roman"/>
        </w:rPr>
        <w:t>Our Target Audience for this project is the</w:t>
      </w:r>
      <w:r>
        <w:rPr>
          <w:rFonts w:ascii="Times New Roman" w:eastAsia="Times New Roman" w:hAnsi="Times New Roman" w:cs="Times New Roman"/>
          <w:color w:val="252525"/>
          <w:highlight w:val="white"/>
        </w:rPr>
        <w:t xml:space="preserve"> </w:t>
      </w:r>
      <w:r>
        <w:rPr>
          <w:rFonts w:ascii="Times New Roman" w:eastAsia="Times New Roman" w:hAnsi="Times New Roman" w:cs="Times New Roman"/>
          <w:b/>
          <w:color w:val="252525"/>
          <w:highlight w:val="white"/>
        </w:rPr>
        <w:t>Committee on Transport, Industry, Communications, Energy, Science and Technology of the African Union</w:t>
      </w:r>
      <w:r>
        <w:rPr>
          <w:rFonts w:ascii="Times New Roman" w:eastAsia="Times New Roman" w:hAnsi="Times New Roman" w:cs="Times New Roman"/>
        </w:rPr>
        <w:t xml:space="preserve">. This committee is </w:t>
      </w:r>
      <w:proofErr w:type="spellStart"/>
      <w:r>
        <w:rPr>
          <w:rFonts w:ascii="Times New Roman" w:eastAsia="Times New Roman" w:hAnsi="Times New Roman" w:cs="Times New Roman"/>
          <w:color w:val="252525"/>
          <w:highlight w:val="white"/>
        </w:rPr>
        <w:t>is</w:t>
      </w:r>
      <w:proofErr w:type="spellEnd"/>
      <w:r>
        <w:rPr>
          <w:rFonts w:ascii="Times New Roman" w:eastAsia="Times New Roman" w:hAnsi="Times New Roman" w:cs="Times New Roman"/>
          <w:color w:val="252525"/>
          <w:highlight w:val="white"/>
        </w:rPr>
        <w:t xml:space="preserve"> one of the ten permanent committees of the Pan-African Parliament, which is the legislative body of the African Union. </w:t>
      </w:r>
    </w:p>
    <w:p w:rsidR="00044078" w:rsidRDefault="00044078" w:rsidP="00F53C99">
      <w:pPr>
        <w:spacing w:line="360" w:lineRule="auto"/>
      </w:pPr>
    </w:p>
    <w:p w:rsidR="00044078" w:rsidRDefault="00380A19" w:rsidP="00F53C99">
      <w:pPr>
        <w:spacing w:line="360" w:lineRule="auto"/>
      </w:pPr>
      <w:r>
        <w:rPr>
          <w:rFonts w:ascii="Times New Roman" w:eastAsia="Times New Roman" w:hAnsi="Times New Roman" w:cs="Times New Roman"/>
        </w:rPr>
        <w:t>We want to convince our target audience to move away from non-renewables and move into renewables even when they are a developing na</w:t>
      </w:r>
      <w:r>
        <w:rPr>
          <w:rFonts w:ascii="Times New Roman" w:eastAsia="Times New Roman" w:hAnsi="Times New Roman" w:cs="Times New Roman"/>
        </w:rPr>
        <w:t>tion. As such, we feel our target audience would be most appropriate and would be in a position to push for renewable energy policies in their respective countries.</w:t>
      </w:r>
    </w:p>
    <w:p w:rsidR="00044078" w:rsidRDefault="00044078" w:rsidP="00F53C99">
      <w:pPr>
        <w:spacing w:line="360" w:lineRule="auto"/>
      </w:pPr>
    </w:p>
    <w:p w:rsidR="00044078" w:rsidRDefault="00380A19" w:rsidP="00F53C99">
      <w:pPr>
        <w:spacing w:line="360" w:lineRule="auto"/>
      </w:pPr>
      <w:r>
        <w:rPr>
          <w:rFonts w:ascii="Times New Roman" w:eastAsia="Times New Roman" w:hAnsi="Times New Roman" w:cs="Times New Roman"/>
        </w:rPr>
        <w:t>We are planning to demonstrate based on the energy consumption and production trends of th</w:t>
      </w:r>
      <w:r>
        <w:rPr>
          <w:rFonts w:ascii="Times New Roman" w:eastAsia="Times New Roman" w:hAnsi="Times New Roman" w:cs="Times New Roman"/>
        </w:rPr>
        <w:t>e world over the years, that investing in cleaner solar energy and other renewable sources of energy during the early phase of economic development is not only beneficial but essential for the long term prosperity of African nations.</w:t>
      </w:r>
    </w:p>
    <w:p w:rsidR="00044078" w:rsidRDefault="00044078" w:rsidP="00F53C99">
      <w:pPr>
        <w:spacing w:line="360" w:lineRule="auto"/>
        <w:ind w:hanging="360"/>
      </w:pPr>
    </w:p>
    <w:p w:rsidR="00044078" w:rsidRDefault="00380A19" w:rsidP="00F53C99">
      <w:pPr>
        <w:spacing w:line="360" w:lineRule="auto"/>
      </w:pPr>
      <w:r>
        <w:rPr>
          <w:rFonts w:ascii="Times New Roman" w:eastAsia="Times New Roman" w:hAnsi="Times New Roman" w:cs="Times New Roman"/>
          <w:b/>
          <w:highlight w:val="white"/>
        </w:rPr>
        <w:t>Data Sources and desc</w:t>
      </w:r>
      <w:r>
        <w:rPr>
          <w:rFonts w:ascii="Times New Roman" w:eastAsia="Times New Roman" w:hAnsi="Times New Roman" w:cs="Times New Roman"/>
          <w:b/>
          <w:highlight w:val="white"/>
        </w:rPr>
        <w:t>ription</w:t>
      </w:r>
    </w:p>
    <w:p w:rsidR="00044078" w:rsidRDefault="00044078" w:rsidP="00F53C99">
      <w:pPr>
        <w:spacing w:line="360" w:lineRule="auto"/>
        <w:ind w:hanging="360"/>
        <w:jc w:val="center"/>
      </w:pPr>
    </w:p>
    <w:p w:rsidR="00044078" w:rsidRDefault="00380A19" w:rsidP="00F53C99">
      <w:pPr>
        <w:spacing w:line="360" w:lineRule="auto"/>
      </w:pPr>
      <w:r>
        <w:rPr>
          <w:rFonts w:ascii="Times New Roman" w:eastAsia="Times New Roman" w:hAnsi="Times New Roman" w:cs="Times New Roman"/>
          <w:highlight w:val="white"/>
        </w:rPr>
        <w:t>Our data sources come from the following:</w:t>
      </w:r>
    </w:p>
    <w:p w:rsidR="00044078" w:rsidRDefault="00044078" w:rsidP="00F53C99">
      <w:pPr>
        <w:spacing w:line="360" w:lineRule="auto"/>
      </w:pPr>
    </w:p>
    <w:p w:rsidR="00044078" w:rsidRDefault="00380A19" w:rsidP="00F53C99">
      <w:pPr>
        <w:numPr>
          <w:ilvl w:val="0"/>
          <w:numId w:val="2"/>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highlight w:val="white"/>
        </w:rPr>
        <w:t xml:space="preserve">U.S. Energy Information Administration. (Oct 2008). International Energy Statistics / Total Primary Energy Consumption [Data file]. Retrieved Oct 30, 2016. Available from </w:t>
      </w:r>
      <w:hyperlink r:id="rId7">
        <w:r>
          <w:rPr>
            <w:rFonts w:ascii="Times New Roman" w:eastAsia="Times New Roman" w:hAnsi="Times New Roman" w:cs="Times New Roman"/>
            <w:color w:val="1155CC"/>
            <w:u w:val="single"/>
          </w:rPr>
          <w:t>https://goo.gl/Hzs1Oy</w:t>
        </w:r>
      </w:hyperlink>
    </w:p>
    <w:p w:rsidR="00044078" w:rsidRDefault="00380A19" w:rsidP="00F53C99">
      <w:pPr>
        <w:spacing w:line="360" w:lineRule="auto"/>
      </w:pPr>
      <w:hyperlink r:id="rId8"/>
    </w:p>
    <w:p w:rsidR="00044078" w:rsidRDefault="00380A19" w:rsidP="00F53C99">
      <w:pPr>
        <w:numPr>
          <w:ilvl w:val="0"/>
          <w:numId w:val="3"/>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highlight w:val="white"/>
        </w:rPr>
        <w:t>U.S. Energy Information Administration. (Oct 2008). International Energy Statistics / Total Primary</w:t>
      </w:r>
      <w:r>
        <w:rPr>
          <w:rFonts w:ascii="Times New Roman" w:eastAsia="Times New Roman" w:hAnsi="Times New Roman" w:cs="Times New Roman"/>
          <w:highlight w:val="white"/>
        </w:rPr>
        <w:t xml:space="preserve"> Energy Production [Data file]. Retrieved Oct 30, 2016. Available from</w:t>
      </w:r>
      <w:hyperlink r:id="rId9">
        <w:r>
          <w:rPr>
            <w:rFonts w:ascii="Times New Roman" w:eastAsia="Times New Roman" w:hAnsi="Times New Roman" w:cs="Times New Roman"/>
            <w:highlight w:val="white"/>
          </w:rPr>
          <w:t xml:space="preserve"> </w:t>
        </w:r>
      </w:hyperlink>
      <w:hyperlink r:id="rId10">
        <w:r>
          <w:rPr>
            <w:rFonts w:ascii="Times New Roman" w:eastAsia="Times New Roman" w:hAnsi="Times New Roman" w:cs="Times New Roman"/>
            <w:color w:val="1155CC"/>
            <w:u w:val="single"/>
          </w:rPr>
          <w:t>https://goo.gl/p1NruF</w:t>
        </w:r>
      </w:hyperlink>
    </w:p>
    <w:p w:rsidR="00044078" w:rsidRDefault="00044078" w:rsidP="00F53C99">
      <w:pPr>
        <w:spacing w:line="360" w:lineRule="auto"/>
      </w:pPr>
    </w:p>
    <w:p w:rsidR="00044078" w:rsidRDefault="00380A19" w:rsidP="00F53C99">
      <w:pPr>
        <w:numPr>
          <w:ilvl w:val="0"/>
          <w:numId w:val="1"/>
        </w:numPr>
        <w:spacing w:line="360" w:lineRule="auto"/>
        <w:ind w:hanging="360"/>
        <w:contextualSpacing/>
        <w:rPr>
          <w:rFonts w:ascii="Times New Roman" w:eastAsia="Times New Roman" w:hAnsi="Times New Roman" w:cs="Times New Roman"/>
        </w:rPr>
      </w:pPr>
      <w:r>
        <w:rPr>
          <w:rFonts w:ascii="Times New Roman" w:eastAsia="Times New Roman" w:hAnsi="Times New Roman" w:cs="Times New Roman"/>
          <w:color w:val="404040"/>
          <w:highlight w:val="white"/>
        </w:rPr>
        <w:t>The World Energy Council</w:t>
      </w:r>
      <w:r>
        <w:rPr>
          <w:rFonts w:ascii="Times New Roman" w:eastAsia="Times New Roman" w:hAnsi="Times New Roman" w:cs="Times New Roman"/>
        </w:rPr>
        <w:t>. (2011). Solar Installed Capacity by region. [Online Resource]. Retrieved December 10. Available from</w:t>
      </w:r>
      <w:hyperlink r:id="rId11">
        <w:r>
          <w:rPr>
            <w:rFonts w:ascii="Times New Roman" w:eastAsia="Times New Roman" w:hAnsi="Times New Roman" w:cs="Times New Roman"/>
            <w:color w:val="1155CC"/>
            <w:u w:val="single"/>
          </w:rPr>
          <w:t xml:space="preserve"> </w:t>
        </w:r>
      </w:hyperlink>
      <w:hyperlink r:id="rId12">
        <w:r>
          <w:rPr>
            <w:color w:val="1155CC"/>
            <w:u w:val="single"/>
          </w:rPr>
          <w:br/>
        </w:r>
      </w:hyperlink>
      <w:hyperlink r:id="rId13">
        <w:r>
          <w:rPr>
            <w:rFonts w:ascii="Times New Roman" w:eastAsia="Times New Roman" w:hAnsi="Times New Roman" w:cs="Times New Roman"/>
            <w:color w:val="1155CC"/>
            <w:u w:val="single"/>
          </w:rPr>
          <w:t>https://goo.gl/dIieV4</w:t>
        </w:r>
      </w:hyperlink>
    </w:p>
    <w:p w:rsidR="00044078" w:rsidRDefault="00380A19" w:rsidP="00F53C99">
      <w:pPr>
        <w:spacing w:line="360" w:lineRule="auto"/>
      </w:pPr>
      <w:hyperlink r:id="rId14"/>
    </w:p>
    <w:p w:rsidR="00044078" w:rsidRDefault="00380A19" w:rsidP="00F53C99">
      <w:pPr>
        <w:spacing w:line="360" w:lineRule="auto"/>
      </w:pPr>
      <w:r>
        <w:rPr>
          <w:rFonts w:ascii="Times New Roman" w:eastAsia="Times New Roman" w:hAnsi="Times New Roman" w:cs="Times New Roman"/>
          <w:highlight w:val="white"/>
        </w:rPr>
        <w:lastRenderedPageBreak/>
        <w:t xml:space="preserve">We processed the data differently for different analyses, however there were some common data cleaning and processing steps. We removed all empty rows replaced the values that were listed N/A with zeroes. The names </w:t>
      </w:r>
      <w:r>
        <w:rPr>
          <w:rFonts w:ascii="Times New Roman" w:eastAsia="Times New Roman" w:hAnsi="Times New Roman" w:cs="Times New Roman"/>
          <w:highlight w:val="white"/>
        </w:rPr>
        <w:t>of some countries were changed to their present name. Some countries were merged into one. The rows and columns had to transposed in order to process the data easily in R.</w:t>
      </w:r>
    </w:p>
    <w:p w:rsidR="00044078" w:rsidRDefault="00044078" w:rsidP="00F53C99">
      <w:pPr>
        <w:spacing w:line="360" w:lineRule="auto"/>
      </w:pPr>
    </w:p>
    <w:p w:rsidR="00044078" w:rsidRDefault="00380A19" w:rsidP="00F53C99">
      <w:pPr>
        <w:spacing w:line="360" w:lineRule="auto"/>
        <w:ind w:hanging="360"/>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Sample plot from the analysis</w:t>
      </w:r>
    </w:p>
    <w:p w:rsidR="00044078" w:rsidRDefault="00380A19" w:rsidP="00F53C99">
      <w:pPr>
        <w:spacing w:line="360" w:lineRule="auto"/>
      </w:pPr>
      <w:r>
        <w:rPr>
          <w:noProof/>
        </w:rPr>
        <w:drawing>
          <wp:inline distT="114300" distB="114300" distL="114300" distR="114300">
            <wp:extent cx="5943600" cy="3073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5943600" cy="3073400"/>
                    </a:xfrm>
                    <a:prstGeom prst="rect">
                      <a:avLst/>
                    </a:prstGeom>
                    <a:ln/>
                  </pic:spPr>
                </pic:pic>
              </a:graphicData>
            </a:graphic>
          </wp:inline>
        </w:drawing>
      </w:r>
    </w:p>
    <w:p w:rsidR="00044078" w:rsidRDefault="00044078" w:rsidP="00F53C99">
      <w:pPr>
        <w:spacing w:line="360" w:lineRule="auto"/>
      </w:pPr>
    </w:p>
    <w:p w:rsidR="00044078" w:rsidRDefault="00380A19" w:rsidP="00F53C99">
      <w:pPr>
        <w:spacing w:line="360" w:lineRule="auto"/>
        <w:ind w:hanging="360"/>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Interpretation</w:t>
      </w:r>
    </w:p>
    <w:p w:rsidR="00044078" w:rsidRDefault="00380A19" w:rsidP="00F53C99">
      <w:pPr>
        <w:spacing w:line="360" w:lineRule="auto"/>
      </w:pPr>
      <w:r>
        <w:rPr>
          <w:rFonts w:ascii="Times New Roman" w:eastAsia="Times New Roman" w:hAnsi="Times New Roman" w:cs="Times New Roman"/>
          <w:highlight w:val="white"/>
        </w:rPr>
        <w:t>Europe is leading the</w:t>
      </w:r>
      <w:r>
        <w:rPr>
          <w:rFonts w:ascii="Times New Roman" w:eastAsia="Times New Roman" w:hAnsi="Times New Roman" w:cs="Times New Roman"/>
          <w:highlight w:val="white"/>
        </w:rPr>
        <w:t xml:space="preserve"> world in solar power while Africa is severely lagging. When we couple this with the region wise and nation wise energy consumption and production trends, it is clear that there is a lot of potential for solar power in Africa. Africa is tied with Australia</w:t>
      </w:r>
      <w:r>
        <w:rPr>
          <w:rFonts w:ascii="Times New Roman" w:eastAsia="Times New Roman" w:hAnsi="Times New Roman" w:cs="Times New Roman"/>
          <w:highlight w:val="white"/>
        </w:rPr>
        <w:t xml:space="preserve"> for continents with the most solar exposure so the data above can only be explained by a lack of investments in solar energy infrastructure, or a lack of political will to do so.</w:t>
      </w:r>
    </w:p>
    <w:p w:rsidR="00044078" w:rsidRDefault="00044078" w:rsidP="00F53C99">
      <w:pPr>
        <w:spacing w:line="360" w:lineRule="auto"/>
        <w:ind w:hanging="360"/>
      </w:pPr>
    </w:p>
    <w:p w:rsidR="00044078" w:rsidRDefault="00380A19" w:rsidP="00F53C99">
      <w:pPr>
        <w:spacing w:line="360" w:lineRule="auto"/>
        <w:ind w:hanging="360"/>
      </w:pPr>
      <w:r>
        <w:rPr>
          <w:rFonts w:ascii="Times New Roman" w:eastAsia="Times New Roman" w:hAnsi="Times New Roman" w:cs="Times New Roman"/>
        </w:rPr>
        <w:t xml:space="preserve">·     </w:t>
      </w:r>
      <w:r>
        <w:rPr>
          <w:rFonts w:ascii="Times New Roman" w:eastAsia="Times New Roman" w:hAnsi="Times New Roman" w:cs="Times New Roman"/>
          <w:b/>
        </w:rPr>
        <w:t>Arguments and decisions to be made</w:t>
      </w:r>
    </w:p>
    <w:p w:rsidR="00044078" w:rsidRDefault="00380A19" w:rsidP="00F53C99">
      <w:pPr>
        <w:spacing w:line="360" w:lineRule="auto"/>
      </w:pPr>
      <w:r>
        <w:rPr>
          <w:rFonts w:ascii="Times New Roman" w:eastAsia="Times New Roman" w:hAnsi="Times New Roman" w:cs="Times New Roman"/>
        </w:rPr>
        <w:t xml:space="preserve"> </w:t>
      </w:r>
    </w:p>
    <w:p w:rsidR="00044078" w:rsidRDefault="00380A19" w:rsidP="00F53C99">
      <w:pPr>
        <w:spacing w:line="360" w:lineRule="auto"/>
      </w:pPr>
      <w:r>
        <w:rPr>
          <w:rFonts w:ascii="Times New Roman" w:eastAsia="Times New Roman" w:hAnsi="Times New Roman" w:cs="Times New Roman"/>
        </w:rPr>
        <w:t>The argument we are trying to ma</w:t>
      </w:r>
      <w:r>
        <w:rPr>
          <w:rFonts w:ascii="Times New Roman" w:eastAsia="Times New Roman" w:hAnsi="Times New Roman" w:cs="Times New Roman"/>
        </w:rPr>
        <w:t>ke to our target audience is simply the following. The trend is clear that the energy consumption will likely go up and most energy sources today are detrimental to the climate and the environment.</w:t>
      </w:r>
    </w:p>
    <w:p w:rsidR="00044078" w:rsidRDefault="00380A19" w:rsidP="00F53C99">
      <w:pPr>
        <w:spacing w:line="360" w:lineRule="auto"/>
      </w:pPr>
      <w:r>
        <w:rPr>
          <w:rFonts w:ascii="Times New Roman" w:eastAsia="Times New Roman" w:hAnsi="Times New Roman" w:cs="Times New Roman"/>
        </w:rPr>
        <w:t>Early investment in renewables by developing African natio</w:t>
      </w:r>
      <w:r>
        <w:rPr>
          <w:rFonts w:ascii="Times New Roman" w:eastAsia="Times New Roman" w:hAnsi="Times New Roman" w:cs="Times New Roman"/>
        </w:rPr>
        <w:t xml:space="preserve">ns have many advantages. First, it helps in combating climate change. We know that the most disastrous effects like droughts, floods will affect </w:t>
      </w:r>
      <w:r>
        <w:rPr>
          <w:rFonts w:ascii="Times New Roman" w:eastAsia="Times New Roman" w:hAnsi="Times New Roman" w:cs="Times New Roman"/>
        </w:rPr>
        <w:lastRenderedPageBreak/>
        <w:t>developing countries. Second, it helps create millions of new jobs in the green energy sector. Transmission inf</w:t>
      </w:r>
      <w:r>
        <w:rPr>
          <w:rFonts w:ascii="Times New Roman" w:eastAsia="Times New Roman" w:hAnsi="Times New Roman" w:cs="Times New Roman"/>
        </w:rPr>
        <w:t>rastructure problems are avoided by using solar panels. Thirdly green energy ensures energy independence.</w:t>
      </w:r>
    </w:p>
    <w:sectPr w:rsidR="0004407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A19" w:rsidRDefault="00380A19" w:rsidP="005137B1">
      <w:pPr>
        <w:spacing w:line="240" w:lineRule="auto"/>
      </w:pPr>
      <w:r>
        <w:separator/>
      </w:r>
    </w:p>
  </w:endnote>
  <w:endnote w:type="continuationSeparator" w:id="0">
    <w:p w:rsidR="00380A19" w:rsidRDefault="00380A19" w:rsidP="00513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A19" w:rsidRDefault="00380A19" w:rsidP="005137B1">
      <w:pPr>
        <w:spacing w:line="240" w:lineRule="auto"/>
      </w:pPr>
      <w:r>
        <w:separator/>
      </w:r>
    </w:p>
  </w:footnote>
  <w:footnote w:type="continuationSeparator" w:id="0">
    <w:p w:rsidR="00380A19" w:rsidRDefault="00380A19" w:rsidP="00513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7B1" w:rsidRDefault="005137B1" w:rsidP="005137B1">
    <w:pPr>
      <w:pStyle w:val="Header"/>
      <w:jc w:val="center"/>
    </w:pPr>
    <w:r>
      <w:t>INFM 600 Group Cool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37BD"/>
    <w:multiLevelType w:val="multilevel"/>
    <w:tmpl w:val="F5B60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921233"/>
    <w:multiLevelType w:val="multilevel"/>
    <w:tmpl w:val="CC30E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CF51141"/>
    <w:multiLevelType w:val="multilevel"/>
    <w:tmpl w:val="20D03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4078"/>
    <w:rsid w:val="00044078"/>
    <w:rsid w:val="00380A19"/>
    <w:rsid w:val="005137B1"/>
    <w:rsid w:val="00F5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BD35"/>
  <w15:docId w15:val="{BE9ACD79-70FC-4E04-BECF-45FCF807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5137B1"/>
    <w:pPr>
      <w:tabs>
        <w:tab w:val="center" w:pos="4680"/>
        <w:tab w:val="right" w:pos="9360"/>
      </w:tabs>
      <w:spacing w:line="240" w:lineRule="auto"/>
    </w:pPr>
  </w:style>
  <w:style w:type="character" w:customStyle="1" w:styleId="HeaderChar">
    <w:name w:val="Header Char"/>
    <w:basedOn w:val="DefaultParagraphFont"/>
    <w:link w:val="Header"/>
    <w:uiPriority w:val="99"/>
    <w:rsid w:val="005137B1"/>
  </w:style>
  <w:style w:type="paragraph" w:styleId="Footer">
    <w:name w:val="footer"/>
    <w:basedOn w:val="Normal"/>
    <w:link w:val="FooterChar"/>
    <w:uiPriority w:val="99"/>
    <w:unhideWhenUsed/>
    <w:rsid w:val="005137B1"/>
    <w:pPr>
      <w:tabs>
        <w:tab w:val="center" w:pos="4680"/>
        <w:tab w:val="right" w:pos="9360"/>
      </w:tabs>
      <w:spacing w:line="240" w:lineRule="auto"/>
    </w:pPr>
  </w:style>
  <w:style w:type="character" w:customStyle="1" w:styleId="FooterChar">
    <w:name w:val="Footer Char"/>
    <w:basedOn w:val="DefaultParagraphFont"/>
    <w:link w:val="Footer"/>
    <w:uiPriority w:val="99"/>
    <w:rsid w:val="00513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eia.gov/beta/international/data/browser/index.cfm%23?ord=CR&amp;cy=2013&amp;v=H&amp;vo=0&amp;so=0&amp;io=0&amp;start=1980&amp;end=2013&amp;vs=INTL.44-2-AFRC-QBTU.A~INTL.44-2-ASOC-QBTU.A~INTL.44-2-CSAM-QBTU.A~INTL.44-2-EURA-QBTU.A~INTL.44-2-EURO-QBTU.A~INTL.44-2-MIDE-QBTU.A~INTL.44-2-NOAM-QBTU.A&amp;c=4100000002000060000000000000g0002&amp;pa=000000001s&amp;f=A&amp;ug=4&amp;ct=1&amp;tl_type=p&amp;tl_id=44-A&amp;s=" TargetMode="External"/><Relationship Id="rId13" Type="http://schemas.openxmlformats.org/officeDocument/2006/relationships/hyperlink" Target="https://www.worldenergy.org/data/resources/resource/sola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oo.gl/Hzs1Oy" TargetMode="External"/><Relationship Id="rId12" Type="http://schemas.openxmlformats.org/officeDocument/2006/relationships/hyperlink" Target="https://www.worldenergy.org/data/resources/resource/sola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energy.org/data/resources/resource/solar/"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goo.gl/p1NruF" TargetMode="External"/><Relationship Id="rId4" Type="http://schemas.openxmlformats.org/officeDocument/2006/relationships/webSettings" Target="webSettings.xml"/><Relationship Id="rId9" Type="http://schemas.openxmlformats.org/officeDocument/2006/relationships/hyperlink" Target="http://www.eia.gov/beta/international/data/browser/index.cfm%23?ord=CR&amp;cy=2013&amp;v=H&amp;vo=0&amp;so=0&amp;io=0&amp;start=1980&amp;end=2013&amp;vs=INTL.44-1-AFRC-QBTU.A~INTL.44-1-ASOC-QBTU.A~INTL.44-1-CSAM-QBTU.A~INTL.44-1-EURA-QBTU.A~INTL.44-1-EURO-QBTU.A~INTL.44-1-MIDE-QBTU.A~INTL.44-1-NOAM-QBTU.A&amp;c=4100000002000060000000000000g0002&amp;pa=004&amp;f=A&amp;ug=4&amp;ct=1&amp;tl_type=p&amp;tl_id=44-A&amp;s=" TargetMode="External"/><Relationship Id="rId14" Type="http://schemas.openxmlformats.org/officeDocument/2006/relationships/hyperlink" Target="http://www.eia.gov/beta/international/data/browser/index.cfm%23?ord=CR&amp;cy=2013&amp;v=H&amp;vo=0&amp;so=0&amp;io=0&amp;start=1980&amp;end=2013&amp;vs=INTL.44-1-AFRC-QBTU.A~INTL.44-1-ASOC-QBTU.A~INTL.44-1-CSAM-QBTU.A~INTL.44-1-EURA-QBTU.A~INTL.44-1-EURO-QBTU.A~INTL.44-1-MIDE-QBTU.A~INTL.44-1-NOAM-QBTU.A&amp;c=4100000002000060000000000000g0002&amp;pa=004&amp;f=A&amp;ug=4&amp;ct=1&amp;tl_type=p&amp;tl_id=44-A&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 Krishnamurthi</cp:lastModifiedBy>
  <cp:revision>3</cp:revision>
  <dcterms:created xsi:type="dcterms:W3CDTF">2016-12-14T22:24:00Z</dcterms:created>
  <dcterms:modified xsi:type="dcterms:W3CDTF">2016-12-14T22:25:00Z</dcterms:modified>
</cp:coreProperties>
</file>