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E05B7">
      <w:pPr>
        <w:pStyle w:val="10"/>
        <w:spacing w:after="140"/>
        <w:jc w:val="center"/>
      </w:pPr>
      <w:r>
        <w:rPr>
          <w:rFonts w:ascii="Noto Serif CJK SC" w:hAnsi="Noto Serif CJK SC" w:eastAsia="Noto Serif CJK SC" w:cs="Noto Serif CJK SC"/>
          <w:b/>
          <w:bCs/>
          <w:sz w:val="34"/>
          <w:szCs w:val="34"/>
        </w:rPr>
        <w:t>公共部门人工智能、官僚工作与行政负担——阅读笔记</w:t>
      </w:r>
    </w:p>
    <w:p w14:paraId="6154E553">
      <w:pPr>
        <w:pBdr>
          <w:bottom w:val="single" w:color="AAAAAA" w:sz="4" w:space="8"/>
        </w:pBdr>
        <w:spacing w:after="220"/>
        <w:jc w:val="center"/>
      </w:pPr>
      <w:r>
        <w:rPr>
          <w:rFonts w:ascii="Noto Serif CJK SC" w:hAnsi="Noto Serif CJK SC" w:eastAsia="Noto Serif CJK SC" w:cs="Noto Serif CJK SC"/>
          <w:b w:val="0"/>
          <w:bCs w:val="0"/>
          <w:i/>
          <w:iCs/>
          <w:sz w:val="20"/>
          <w:szCs w:val="20"/>
        </w:rPr>
        <w:t>导师周会材料 | 李振颖</w:t>
      </w:r>
    </w:p>
    <w:p w14:paraId="2022DAA6">
      <w:pPr>
        <w:pStyle w:val="2"/>
        <w:pBdr>
          <w:bottom w:val="single" w:color="1F3864" w:sz="6" w:space="4"/>
        </w:pBdr>
        <w:spacing w:before="200" w:after="90"/>
      </w:pPr>
      <w:r>
        <w:rPr>
          <w:rFonts w:ascii="Noto Serif CJK SC" w:hAnsi="Noto Serif CJK SC" w:eastAsia="Noto Serif CJK SC" w:cs="Noto Serif CJK SC"/>
          <w:b/>
          <w:bCs/>
          <w:color w:val="1F3864"/>
          <w:sz w:val="27"/>
          <w:szCs w:val="27"/>
        </w:rPr>
        <w:t>文献中的核心转向</w:t>
      </w:r>
    </w:p>
    <w:p w14:paraId="62D2BA64">
      <w:pPr>
        <w:spacing w:after="140" w:line="300" w:lineRule="auto"/>
        <w:jc w:val="both"/>
      </w:pPr>
      <w:r>
        <w:rPr>
          <w:rFonts w:ascii="Noto Serif CJK SC" w:hAnsi="Noto Serif CJK SC" w:eastAsia="Noto Serif CJK SC" w:cs="Noto Serif CJK SC"/>
          <w:b w:val="0"/>
          <w:bCs w:val="0"/>
          <w:i w:val="0"/>
          <w:iCs w:val="0"/>
          <w:sz w:val="24"/>
          <w:szCs w:val="24"/>
        </w:rPr>
        <w:t>公共部门人工智能研究正在经历一次重要的分析重心转移：研究者不再只问政府是否采用AI、工作人员是否愿意使用AI，或者算法是否比人类更准确，而是越来越关注AI如何进入公共组织、重构官僚工作，并进一步改变公民与国家之间的互动。AI的公共价值后果并不由技术性能单独决定，而取决于制度环境、组织能力、数据与工作流程、人机分工、监督和救济安排。自动化也没有消除裁量，而是将裁量从面对面的个案处理重新分配到问题定义、数据选择、规则编码、模型阈值、界面设计、例外处理和复核申诉等环节，这些安排最终通过国家—公民界面转化为学习成本、遵从成本和心理成本。</w:t>
      </w:r>
    </w:p>
    <w:p w14:paraId="5976D66F">
      <w:pPr>
        <w:spacing w:after="140" w:line="300" w:lineRule="auto"/>
        <w:jc w:val="both"/>
      </w:pPr>
      <w:r>
        <w:rPr>
          <w:rFonts w:ascii="Noto Serif CJK SC" w:hAnsi="Noto Serif CJK SC" w:eastAsia="Noto Serif CJK SC" w:cs="Noto Serif CJK SC"/>
          <w:b w:val="0"/>
          <w:bCs w:val="0"/>
          <w:i w:val="0"/>
          <w:iCs w:val="0"/>
          <w:sz w:val="24"/>
          <w:szCs w:val="24"/>
        </w:rPr>
        <w:t>贯穿这些文献的核心问题是：公共部门AI如何在特定制度和组织条件下重新配置官僚裁量与行政成本，并产生何种绩效、分配和合法性后果？可以提炼出一条基本分析链：制度环境与公共价值 → 组织实施能力 → 人机工作系统与裁量配置 → 国家—公民界面 → 行政负担 → 绩效、公平与合法性结果。</w:t>
      </w:r>
    </w:p>
    <w:p w14:paraId="35653D35">
      <w:pPr>
        <w:pStyle w:val="2"/>
        <w:pBdr>
          <w:bottom w:val="single" w:color="1F3864" w:sz="6" w:space="4"/>
        </w:pBdr>
        <w:spacing w:before="200" w:after="90"/>
      </w:pPr>
      <w:r>
        <w:rPr>
          <w:rFonts w:ascii="Noto Serif CJK SC" w:hAnsi="Noto Serif CJK SC" w:eastAsia="Noto Serif CJK SC" w:cs="Noto Serif CJK SC"/>
          <w:b/>
          <w:bCs/>
          <w:color w:val="1F3864"/>
          <w:sz w:val="27"/>
          <w:szCs w:val="27"/>
        </w:rPr>
        <w:t>采用不等于落地</w:t>
      </w:r>
    </w:p>
    <w:p w14:paraId="56C3A218">
      <w:pPr>
        <w:spacing w:after="140" w:line="300" w:lineRule="auto"/>
        <w:jc w:val="both"/>
      </w:pPr>
      <w:r>
        <w:rPr>
          <w:rFonts w:ascii="Noto Serif CJK SC" w:hAnsi="Noto Serif CJK SC" w:eastAsia="Noto Serif CJK SC" w:cs="Noto Serif CJK SC"/>
          <w:b w:val="0"/>
          <w:bCs w:val="0"/>
          <w:i w:val="0"/>
          <w:iCs w:val="0"/>
          <w:sz w:val="24"/>
          <w:szCs w:val="24"/>
        </w:rPr>
        <w:t>Mergel等人（2023）将研究重点从原则和采用推进到数据、人员、团队、工作流程、监督与持续学习。Neumann、Guirguis与Steiner（2024）指出AI能力具有阶段性：探索阶段依靠先行者和试点资金，进入核心业务后需要高层支持和稳定预算，规模化还会面临标准化和责任分配问题——支持早期试点的条件并不会自动支持技术扩散。Wilson与Broomfield（2023）发现同伴网络能够传播实施诀窍，却未必能建立真正理解模型偏差和适用边界的技术能力。Park、Oh与Choi（2025）补充说，技术的公共可见性和失败风险会影响机构选择公开承认哪些AI应用。组织能力不是AI研究中的普通控制变量，而是技术效果的一部分。</w:t>
      </w:r>
    </w:p>
    <w:p w14:paraId="3EA3837A">
      <w:pPr>
        <w:pStyle w:val="2"/>
        <w:pBdr>
          <w:bottom w:val="single" w:color="1F3864" w:sz="6" w:space="4"/>
        </w:pBdr>
        <w:spacing w:before="200" w:after="90"/>
      </w:pPr>
      <w:r>
        <w:rPr>
          <w:rFonts w:ascii="Noto Serif CJK SC" w:hAnsi="Noto Serif CJK SC" w:eastAsia="Noto Serif CJK SC" w:cs="Noto Serif CJK SC"/>
          <w:b/>
          <w:bCs/>
          <w:color w:val="1F3864"/>
          <w:sz w:val="27"/>
          <w:szCs w:val="27"/>
        </w:rPr>
        <w:t>生成式AI：从采用意愿到任务层真实使用</w:t>
      </w:r>
    </w:p>
    <w:p w14:paraId="43D28120">
      <w:pPr>
        <w:spacing w:after="140" w:line="300" w:lineRule="auto"/>
        <w:jc w:val="both"/>
      </w:pPr>
      <w:r>
        <w:rPr>
          <w:rFonts w:ascii="Noto Serif CJK SC" w:hAnsi="Noto Serif CJK SC" w:eastAsia="Noto Serif CJK SC" w:cs="Noto Serif CJK SC"/>
          <w:b w:val="0"/>
          <w:bCs w:val="0"/>
          <w:i w:val="0"/>
          <w:iCs w:val="0"/>
          <w:sz w:val="24"/>
          <w:szCs w:val="24"/>
        </w:rPr>
        <w:t>Kim与Nam（2026）以韩国公务员为研究对象，发现感知重要性、对回答的信任和支持性组织文化与自报的GenAI使用正相关，操作担忧会削弱信任与使用之间的联系；但数据为横截面自报，不能排除反向因果。Zhang、Hsieh与Liu（2025）发现台湾教师对ChatGPT的依赖与工作努力、自我效能正相关，但同样不能建立时间顺序。Nam与Bell（2025）的情境实验发现，关于少数群体可能受到不公平伤害的信息，比防欺诈效率信息更能压低官僚对AI采用的支持——公平风险似乎比效率话术更有分量，但这只是短期态度效应，不能证明真实机构会如此部署系统。目前尚未有研究把正式授权、任务层使用日志和公民端结果连接在同一设计中，这是关键的下一步。</w:t>
      </w:r>
    </w:p>
    <w:p w14:paraId="0DE229DA">
      <w:pPr>
        <w:pStyle w:val="2"/>
        <w:pBdr>
          <w:bottom w:val="single" w:color="1F3864" w:sz="6" w:space="4"/>
        </w:pBdr>
        <w:spacing w:before="200" w:after="90"/>
      </w:pPr>
      <w:r>
        <w:rPr>
          <w:rFonts w:ascii="Noto Serif CJK SC" w:hAnsi="Noto Serif CJK SC" w:eastAsia="Noto Serif CJK SC" w:cs="Noto Serif CJK SC"/>
          <w:b/>
          <w:bCs/>
          <w:color w:val="1F3864"/>
          <w:sz w:val="27"/>
          <w:szCs w:val="27"/>
        </w:rPr>
        <w:t>AI对官僚工作的影响：裁量的迁移而非消失</w:t>
      </w:r>
    </w:p>
    <w:p w14:paraId="2B885D9F">
      <w:pPr>
        <w:spacing w:after="140" w:line="300" w:lineRule="auto"/>
        <w:jc w:val="both"/>
      </w:pPr>
      <w:r>
        <w:rPr>
          <w:rFonts w:ascii="Noto Serif CJK SC" w:hAnsi="Noto Serif CJK SC" w:eastAsia="Noto Serif CJK SC" w:cs="Noto Serif CJK SC"/>
          <w:b w:val="0"/>
          <w:bCs w:val="0"/>
          <w:i w:val="0"/>
          <w:iCs w:val="0"/>
          <w:sz w:val="24"/>
          <w:szCs w:val="24"/>
        </w:rPr>
        <w:t>Vogl等人（2020）提出"算法官僚制"，强调人、模型、数据共同构成行政决策系统。Meijer、Lorenz与Wessels（2021）发现相近的预测警务系统可以因规则和组织文化差异而成为强化控制的"算法牢笼"，也可以成为支持专业判断的"算法同事"。Giest与Klievink（2024）区分了公开的岗位替代与未被组织正式承认的任务漂移。Keppeler（2024）的田野实验从候选人角度补充：招聘中的AI披露会触发算法厌恶——这正是方案1的直接模板，且尚未有研究检验这一效应在不同年龄或职业阶段上是否存在差异。适当的分析单位不是孤立算法，而是整个社会技术工作系统。</w:t>
      </w:r>
    </w:p>
    <w:p w14:paraId="5827A50B">
      <w:pPr>
        <w:pStyle w:val="2"/>
        <w:pBdr>
          <w:bottom w:val="single" w:color="1F3864" w:sz="6" w:space="4"/>
        </w:pBdr>
        <w:spacing w:before="200" w:after="90"/>
      </w:pPr>
      <w:r>
        <w:rPr>
          <w:rFonts w:ascii="Noto Serif CJK SC" w:hAnsi="Noto Serif CJK SC" w:eastAsia="Noto Serif CJK SC" w:cs="Noto Serif CJK SC"/>
          <w:b/>
          <w:bCs/>
          <w:color w:val="1F3864"/>
          <w:sz w:val="27"/>
          <w:szCs w:val="27"/>
        </w:rPr>
        <w:t>问责与合法性</w:t>
      </w:r>
    </w:p>
    <w:p w14:paraId="5805C64C">
      <w:pPr>
        <w:spacing w:after="140" w:line="300" w:lineRule="auto"/>
        <w:jc w:val="both"/>
      </w:pPr>
      <w:r>
        <w:rPr>
          <w:rFonts w:ascii="Noto Serif CJK SC" w:hAnsi="Noto Serif CJK SC" w:eastAsia="Noto Serif CJK SC" w:cs="Noto Serif CJK SC"/>
          <w:b w:val="0"/>
          <w:bCs w:val="0"/>
          <w:i w:val="0"/>
          <w:iCs w:val="0"/>
          <w:sz w:val="24"/>
          <w:szCs w:val="24"/>
        </w:rPr>
        <w:t>Busuioc（2021）将算法问责分解为三个阶段——调查与信息、解释与说理、判断与纠正（含制裁）——这是检验"解释+人工复核+申诉"这类保障措施是否真正发挥作用、而不只是被宣布的理论锚点。Henman（2020）指出，一个预测准确的系统仍可能因为当事人无法陈述例外或提出申诉而缺乏行政正义。Miller与Keiser（2021）发现，少数族裔面对缺乏代表性的警察群体时可能更支持自动化，但这不代表公民普遍认为机器公平。Pande与Taeihagh（2023）关于新加坡自主系统监管的研究显示，监管沙盒和标准制定能提升协调能力，但不能替代执法和数据权利保障。</w:t>
      </w:r>
    </w:p>
    <w:p w14:paraId="111E8379">
      <w:pPr>
        <w:pStyle w:val="2"/>
        <w:pBdr>
          <w:bottom w:val="single" w:color="1F3864" w:sz="6" w:space="4"/>
        </w:pBdr>
        <w:spacing w:before="200" w:after="90"/>
      </w:pPr>
      <w:r>
        <w:rPr>
          <w:rFonts w:ascii="Noto Serif CJK SC" w:hAnsi="Noto Serif CJK SC" w:eastAsia="Noto Serif CJK SC" w:cs="Noto Serif CJK SC"/>
          <w:b/>
          <w:bCs/>
          <w:color w:val="1F3864"/>
          <w:sz w:val="27"/>
          <w:szCs w:val="27"/>
        </w:rPr>
        <w:t>行政负担：一种连接性框架</w:t>
      </w:r>
    </w:p>
    <w:p w14:paraId="6DF9CD2D">
      <w:pPr>
        <w:spacing w:after="140" w:line="300" w:lineRule="auto"/>
        <w:jc w:val="both"/>
      </w:pPr>
      <w:r>
        <w:rPr>
          <w:rFonts w:ascii="Noto Serif CJK SC" w:hAnsi="Noto Serif CJK SC" w:eastAsia="Noto Serif CJK SC" w:cs="Noto Serif CJK SC"/>
          <w:b w:val="0"/>
          <w:bCs w:val="0"/>
          <w:i w:val="0"/>
          <w:iCs w:val="0"/>
          <w:sz w:val="24"/>
          <w:szCs w:val="24"/>
        </w:rPr>
        <w:t>Halling与Baekgaard（2024）的系统综述把这一领域整理为一条因果地图：国家行动—执行与沟通—主观体验—个体后果—负担容忍—政策反馈，并提醒正式规则、主观负担和下游结果需要分开看待。行政负担本身通常包括学习成本、遵从成本和心理成本（Christensen等，2020；Döring与Madsen，2022）。数字化改革可以减少负担，也可能改变负担的承担者：Aoki（2025）的联合分析发现，公民表示更偏好能减少搜索和往返的一站式、主动服务设计，但这类设计也可能带来数字排斥和申诉困难——这是关于偏好的调查结果，不是对已上线服务实际效果的测量；Hegemann与Ritz（2026）的技术—组织—个人框架强调，公民进入网页之前，后台架构和渠道设计已经预先塑造其体验。对AI研究最重要的纠正是：组织内部处理成本下降不等于社会总成本下降——AI可能只是把搜索、验证和纠错转移给了公民。</w:t>
      </w:r>
    </w:p>
    <w:p w14:paraId="37BA6290">
      <w:pPr>
        <w:pStyle w:val="2"/>
        <w:pBdr>
          <w:bottom w:val="single" w:color="1F3864" w:sz="6" w:space="4"/>
        </w:pBdr>
        <w:spacing w:before="200" w:after="90"/>
      </w:pPr>
      <w:r>
        <w:rPr>
          <w:rFonts w:ascii="Noto Serif CJK SC" w:hAnsi="Noto Serif CJK SC" w:eastAsia="Noto Serif CJK SC" w:cs="Noto Serif CJK SC"/>
          <w:b/>
          <w:bCs/>
          <w:color w:val="1F3864"/>
          <w:sz w:val="27"/>
          <w:szCs w:val="27"/>
        </w:rPr>
        <w:t>负担、公平与分配政治</w:t>
      </w:r>
    </w:p>
    <w:p w14:paraId="7845418D">
      <w:pPr>
        <w:spacing w:after="140" w:line="300" w:lineRule="auto"/>
        <w:jc w:val="both"/>
      </w:pPr>
      <w:r>
        <w:rPr>
          <w:rFonts w:ascii="Noto Serif CJK SC" w:hAnsi="Noto Serif CJK SC" w:eastAsia="Noto Serif CJK SC" w:cs="Noto Serif CJK SC"/>
          <w:b w:val="0"/>
          <w:bCs w:val="0"/>
          <w:i w:val="0"/>
          <w:iCs w:val="0"/>
          <w:sz w:val="24"/>
          <w:szCs w:val="24"/>
        </w:rPr>
        <w:t>Bell与Meyer（2024）提供了因果证据：降低前线人员工作负荷，与低收入、少数族裔学生获得资助的增加相联系。Herd与Moynihan（2025）指出行政程序不仅影响福利获得，还可能规制身体、照护劳动和身份。Benish等人（2024）的"who–what–how"类型学表明，减负是一种制度和政治选择，而非中性的技术优化。</w:t>
      </w:r>
    </w:p>
    <w:p w14:paraId="36544F2C">
      <w:pPr>
        <w:pStyle w:val="2"/>
        <w:pBdr>
          <w:bottom w:val="single" w:color="1F3864" w:sz="6" w:space="4"/>
        </w:pBdr>
        <w:spacing w:before="200" w:after="90"/>
      </w:pPr>
      <w:r>
        <w:rPr>
          <w:rFonts w:ascii="Noto Serif CJK SC" w:hAnsi="Noto Serif CJK SC" w:eastAsia="Noto Serif CJK SC" w:cs="Noto Serif CJK SC"/>
          <w:b/>
          <w:bCs/>
          <w:color w:val="1F3864"/>
          <w:sz w:val="27"/>
          <w:szCs w:val="27"/>
        </w:rPr>
        <w:t>我从文献中得到的四点认识</w:t>
      </w:r>
    </w:p>
    <w:p w14:paraId="0841B815">
      <w:pPr>
        <w:pStyle w:val="16"/>
        <w:numPr>
          <w:ilvl w:val="0"/>
          <w:numId w:val="1"/>
        </w:numPr>
        <w:spacing w:after="60" w:line="280" w:lineRule="auto"/>
        <w:jc w:val="both"/>
      </w:pPr>
      <w:r>
        <w:rPr>
          <w:rFonts w:ascii="Noto Serif CJK SC" w:hAnsi="Noto Serif CJK SC" w:eastAsia="Noto Serif CJK SC" w:cs="Noto Serif CJK SC"/>
          <w:b w:val="0"/>
          <w:bCs w:val="0"/>
          <w:i w:val="0"/>
          <w:iCs w:val="0"/>
          <w:sz w:val="24"/>
          <w:szCs w:val="24"/>
        </w:rPr>
        <w:t>公共部门AI的结果取决于制度与组织嵌入——数据、预算、技能、工作流程、领导支持和网络资源——而不只是技术能力本身。</w:t>
      </w:r>
    </w:p>
    <w:p w14:paraId="1B1FD694">
      <w:pPr>
        <w:pStyle w:val="16"/>
        <w:numPr>
          <w:ilvl w:val="0"/>
          <w:numId w:val="1"/>
        </w:numPr>
        <w:spacing w:after="60" w:line="280" w:lineRule="auto"/>
        <w:jc w:val="both"/>
      </w:pPr>
      <w:r>
        <w:rPr>
          <w:rFonts w:ascii="Noto Serif CJK SC" w:hAnsi="Noto Serif CJK SC" w:eastAsia="Noto Serif CJK SC" w:cs="Noto Serif CJK SC"/>
          <w:b w:val="0"/>
          <w:bCs w:val="0"/>
          <w:i w:val="0"/>
          <w:iCs w:val="0"/>
          <w:sz w:val="24"/>
          <w:szCs w:val="24"/>
        </w:rPr>
        <w:t>自动化重新分配官僚裁量，而不是消除裁量：裁量从面对面个案处理迁移到问题定义、数据选择、模型阈值和申诉设计</w:t>
      </w:r>
      <w:bookmarkStart w:id="0" w:name="_GoBack"/>
      <w:bookmarkEnd w:id="0"/>
      <w:r>
        <w:rPr>
          <w:rFonts w:ascii="Noto Serif CJK SC" w:hAnsi="Noto Serif CJK SC" w:eastAsia="Noto Serif CJK SC" w:cs="Noto Serif CJK SC"/>
          <w:b w:val="0"/>
          <w:bCs w:val="0"/>
          <w:i w:val="0"/>
          <w:iCs w:val="0"/>
          <w:sz w:val="24"/>
          <w:szCs w:val="24"/>
        </w:rPr>
        <w:t>。</w:t>
      </w:r>
    </w:p>
    <w:p w14:paraId="5E5E2E7C">
      <w:pPr>
        <w:pStyle w:val="16"/>
        <w:numPr>
          <w:ilvl w:val="0"/>
          <w:numId w:val="1"/>
        </w:numPr>
        <w:spacing w:after="60" w:line="280" w:lineRule="auto"/>
        <w:jc w:val="both"/>
      </w:pPr>
      <w:r>
        <w:rPr>
          <w:rFonts w:ascii="Noto Serif CJK SC" w:hAnsi="Noto Serif CJK SC" w:eastAsia="Noto Serif CJK SC" w:cs="Noto Serif CJK SC"/>
          <w:b w:val="0"/>
          <w:bCs w:val="0"/>
          <w:i w:val="0"/>
          <w:iCs w:val="0"/>
          <w:sz w:val="24"/>
          <w:szCs w:val="24"/>
        </w:rPr>
        <w:t>行政负担是连接组织设计与公民结果的关键环节：机构内部的效率提升，可能只是把搜索、验证和纠错成本转移给了公民，而不是真正消除。</w:t>
      </w:r>
    </w:p>
    <w:p w14:paraId="759FE5D5">
      <w:pPr>
        <w:pStyle w:val="16"/>
        <w:numPr>
          <w:ilvl w:val="0"/>
          <w:numId w:val="1"/>
        </w:numPr>
        <w:spacing w:after="60" w:line="280" w:lineRule="auto"/>
        <w:jc w:val="both"/>
      </w:pPr>
      <w:r>
        <w:rPr>
          <w:rFonts w:ascii="Noto Serif CJK SC" w:hAnsi="Noto Serif CJK SC" w:eastAsia="Noto Serif CJK SC" w:cs="Noto Serif CJK SC"/>
          <w:b w:val="0"/>
          <w:bCs w:val="0"/>
          <w:i w:val="0"/>
          <w:iCs w:val="0"/>
          <w:sz w:val="24"/>
          <w:szCs w:val="24"/>
        </w:rPr>
        <w:t>合法性和减负都不是中性的技术结果——它们取决于是否存在可解释、可质疑、可纠正的制度过程，也取决于谁的成本被算数、谁从中受益这类政治选择。</w:t>
      </w:r>
    </w:p>
    <w:p w14:paraId="6BFEC5DF">
      <w:pPr>
        <w:pStyle w:val="2"/>
        <w:pBdr>
          <w:bottom w:val="single" w:color="1F3864" w:sz="6" w:space="4"/>
        </w:pBdr>
        <w:spacing w:before="200" w:after="90"/>
      </w:pPr>
      <w:r>
        <w:rPr>
          <w:rFonts w:ascii="Noto Serif CJK SC" w:hAnsi="Noto Serif CJK SC" w:eastAsia="Noto Serif CJK SC" w:cs="Noto Serif CJK SC"/>
          <w:b/>
          <w:bCs/>
          <w:color w:val="1F3864"/>
          <w:sz w:val="27"/>
          <w:szCs w:val="27"/>
        </w:rPr>
        <w:t>主要空白</w:t>
      </w:r>
    </w:p>
    <w:p w14:paraId="424EC3D7">
      <w:pPr>
        <w:spacing w:after="140" w:line="300" w:lineRule="auto"/>
        <w:jc w:val="both"/>
      </w:pPr>
      <w:r>
        <w:rPr>
          <w:rFonts w:ascii="Noto Serif CJK SC" w:hAnsi="Noto Serif CJK SC" w:eastAsia="Noto Serif CJK SC" w:cs="Noto Serif CJK SC"/>
          <w:b w:val="0"/>
          <w:bCs w:val="0"/>
          <w:i w:val="0"/>
          <w:iCs w:val="0"/>
          <w:sz w:val="24"/>
          <w:szCs w:val="24"/>
        </w:rPr>
        <w:t>现有研究最突出的缺口是实施链条断裂：组织研究、员工态度研究、行政负担研究和问责研究很少同时出现在同一设计中，因而尚不能清楚回答组织支持是否改变了任务层使用、使用是否改变了前线决定、决定是否减少或转移了公民负担。许多研究的结果变量与理论主张也不完全匹配（态度不等于真实公平，点击不等于完成申请），纵向、任务层、多源数据仍然稀缺，治理保障多被当作规范建议而非可检验的制度安排。关于亚洲公共部门的任务层、组织层和公民端证据也仍然有限。</w:t>
      </w:r>
    </w:p>
    <w:p w14:paraId="67B94F79">
      <w:pPr>
        <w:pStyle w:val="2"/>
        <w:pBdr>
          <w:bottom w:val="single" w:color="1F3864" w:sz="6" w:space="4"/>
        </w:pBdr>
        <w:spacing w:before="200" w:after="90"/>
      </w:pPr>
      <w:r>
        <w:rPr>
          <w:rFonts w:ascii="Noto Serif CJK SC" w:hAnsi="Noto Serif CJK SC" w:eastAsia="Noto Serif CJK SC" w:cs="Noto Serif CJK SC"/>
          <w:b/>
          <w:bCs/>
          <w:color w:val="1F3864"/>
          <w:sz w:val="27"/>
          <w:szCs w:val="27"/>
        </w:rPr>
        <w:t>参考文献</w:t>
      </w:r>
    </w:p>
    <w:p w14:paraId="06ED38A3">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Aoki, N. (2025). En route to zero bureaucracy and invisible government: a conjoint analysis of the effects of transforming the state-citizen interface.</w:t>
      </w:r>
    </w:p>
    <w:p w14:paraId="78A89797">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Bell, E., &amp; Meyer, K. (2024). Does Reducing Street-Level Bureaucrats' Workload Enhance Equity in Program Access? Evidence from Burdensome College Financial Aid Programs.</w:t>
      </w:r>
    </w:p>
    <w:p w14:paraId="38C1C731">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Benish, A., Tarshish, N., Holler, R., &amp; Gal, J. (2024). Types of administrative burden reduction strategies: who, what, and how.</w:t>
      </w:r>
    </w:p>
    <w:p w14:paraId="0A4B35B3">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Busuioc, M. (2021). Accountable Artificial Intelligence: Holding Algorithms to Account.</w:t>
      </w:r>
    </w:p>
    <w:p w14:paraId="02F42430">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Christensen, J., Aarøe, L., Baekgaard, M., Herd, P., &amp; Moynihan, D. P. (2020). Human Capital and Administrative Burden: The Role of Cognitive Resources in Citizen-State Interactions.</w:t>
      </w:r>
    </w:p>
    <w:p w14:paraId="73E09AF1">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Döring, M., &amp; Madsen, J. K. (2022). Mitigating Psychological Costs: The Role of Citizens' Administrative Literacy and Social Capital.</w:t>
      </w:r>
    </w:p>
    <w:p w14:paraId="386ACAA2">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Giest, S. N., &amp; Klievink, B. (2024). More than a digital system: how AI is changing the role of bureaucrats in different organizational contexts.</w:t>
      </w:r>
    </w:p>
    <w:p w14:paraId="0D98F2EA">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Halling, A., &amp; Baekgaard, M. (2024). Administrative Burden in Citizen-State Interactions: A Systematic Literature Review.</w:t>
      </w:r>
    </w:p>
    <w:p w14:paraId="4F19E9E5">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Hegemann, M., &amp; Ritz, A. (2026). Administrative burden in digital service provision: a systematic literature review and research agenda.</w:t>
      </w:r>
    </w:p>
    <w:p w14:paraId="38A4C263">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Henman, P. (2020). Improving public services using artificial intelligence: possibilities, pitfalls, governance.</w:t>
      </w:r>
    </w:p>
    <w:p w14:paraId="19CE51F5">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Herd, P., &amp; Moynihan, D. (2025). Gendered administrative burden: regulating gendered bodies, labor, and identity.</w:t>
      </w:r>
    </w:p>
    <w:p w14:paraId="3C62CAE4">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Keppeler, F. (2024). No Thanks, Dear AI! Understanding the Effects of Disclosure and Deployment of Artificial Intelligence in Public Sector Recruitment.</w:t>
      </w:r>
    </w:p>
    <w:p w14:paraId="4C03EF15">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Kim, S., &amp; Nam, J. (2026). Beyond Adoption: Conditions Shaping Public Officials' Use of AI Chatbots in Government.</w:t>
      </w:r>
    </w:p>
    <w:p w14:paraId="7FEC74B5">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Meijer, A., Lorenz, L., &amp; Wessels, M. (2021). Algorithmization of Bureaucratic Organizations: Using a Practice Lens to Study How Context Shapes Predictive Policing Systems.</w:t>
      </w:r>
    </w:p>
    <w:p w14:paraId="3BBE52E6">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Mergel, I., Dickinson, H., Stenvall, J., &amp; Gasco, M. (2023). Implementing AI in the public sector.</w:t>
      </w:r>
    </w:p>
    <w:p w14:paraId="25CDA089">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Miller, S. M., &amp; Keiser, L. R. (2021). Representative Bureaucracy and Attitudes Toward Automated Decision Making.</w:t>
      </w:r>
    </w:p>
    <w:p w14:paraId="7D00EA61">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Nam, J., &amp; Bell, E. (2025). Efficiency or Equity? How Public Values Shape Bureaucrats' Willingness to Use AI.</w:t>
      </w:r>
    </w:p>
    <w:p w14:paraId="16F05D9E">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Neumann, O., Guirguis, K., &amp; Steiner, R. (2024). Exploring artificial intelligence adoption in public organizations.</w:t>
      </w:r>
    </w:p>
    <w:p w14:paraId="5B4AB350">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Pande, D., &amp; Taeihagh, A. (2023). Navigating the governance challenges of disruptive technologies: insights from regulation of autonomous systems in Singapore.</w:t>
      </w:r>
    </w:p>
    <w:p w14:paraId="76D89D40">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Park, J., Oh, D., &amp; Choi, D. (2025). Hidden AI innovations in the public sector.</w:t>
      </w:r>
    </w:p>
    <w:p w14:paraId="5EEFE670">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Vogl, T. M., Seidelin, C., Ganesh, B., &amp; Bright, J. (2020). Smart Technology and the Emergence of Algorithmic Bureaucracy: Artificial Intelligence in UK Local Authorities.</w:t>
      </w:r>
    </w:p>
    <w:p w14:paraId="7E951680">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Wilson, C., &amp; Broomfield, H. (2023). Learning how to do AI: managing organizational boundaries in an intergovernmental learning forum.</w:t>
      </w:r>
    </w:p>
    <w:p w14:paraId="0A5C29D2">
      <w:pPr>
        <w:pStyle w:val="16"/>
        <w:numPr>
          <w:ilvl w:val="0"/>
          <w:numId w:val="1"/>
        </w:numPr>
        <w:spacing w:after="40" w:line="240" w:lineRule="auto"/>
        <w:jc w:val="both"/>
      </w:pPr>
      <w:r>
        <w:rPr>
          <w:rFonts w:ascii="Noto Serif CJK SC" w:hAnsi="Noto Serif CJK SC" w:eastAsia="Noto Serif CJK SC" w:cs="Noto Serif CJK SC"/>
          <w:b w:val="0"/>
          <w:bCs w:val="0"/>
          <w:i w:val="0"/>
          <w:iCs w:val="0"/>
          <w:sz w:val="21"/>
          <w:szCs w:val="21"/>
        </w:rPr>
        <w:t>Zhang, Y., Hsieh, C.-W., &amp; Liu, F. (2025). Employee Response to GenAI: Exploring the Effect of ChatGPT Dependence on Work Effort.</w:t>
      </w:r>
    </w:p>
    <w:sectPr>
      <w:pgSz w:w="11906" w:h="16838"/>
      <w:pgMar w:top="900" w:right="1100" w:bottom="9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erif CJK SC">
    <w:altName w:val="苹方-简"/>
    <w:panose1 w:val="00000000000000000000"/>
    <w:charset w:val="86"/>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36852C"/>
    <w:multiLevelType w:val="multilevel"/>
    <w:tmpl w:val="DE36852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useFELayout/>
    <w:compatSetting w:name="compatibilityMode" w:uri="http://schemas.microsoft.com/office/word" w:val="15"/>
  </w:compat>
  <w:rsids>
    <w:rsidRoot w:val="00000000"/>
    <w:rsid w:val="7CE7FC1A"/>
    <w:rsid w:val="D3CF097B"/>
    <w:rsid w:val="FEBD6F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oto Serif CJK SC" w:hAnsi="Noto Serif CJK SC" w:eastAsia="Noto Serif CJK SC" w:cs="Noto Serif CJK S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Noto Serif CJK SC" w:hAnsi="Noto Serif CJK SC" w:eastAsia="Noto Serif CJK SC" w:cs="Noto Serif CJK SC"/>
      <w:sz w:val="24"/>
      <w:szCs w:val="24"/>
    </w:rPr>
  </w:style>
  <w:style w:type="paragraph" w:styleId="2">
    <w:name w:val="heading 1"/>
    <w:next w:val="1"/>
    <w:qFormat/>
    <w:uiPriority w:val="0"/>
    <w:rPr>
      <w:rFonts w:ascii="Noto Serif CJK SC" w:hAnsi="Noto Serif CJK SC" w:eastAsia="Noto Serif CJK SC" w:cs="Noto Serif CJK SC"/>
      <w:color w:val="2E74B5"/>
      <w:sz w:val="32"/>
      <w:szCs w:val="32"/>
    </w:rPr>
  </w:style>
  <w:style w:type="paragraph" w:styleId="3">
    <w:name w:val="heading 2"/>
    <w:next w:val="1"/>
    <w:qFormat/>
    <w:uiPriority w:val="0"/>
    <w:rPr>
      <w:rFonts w:ascii="Noto Serif CJK SC" w:hAnsi="Noto Serif CJK SC" w:eastAsia="Noto Serif CJK SC" w:cs="Noto Serif CJK SC"/>
      <w:color w:val="2E74B5"/>
      <w:sz w:val="26"/>
      <w:szCs w:val="26"/>
    </w:rPr>
  </w:style>
  <w:style w:type="paragraph" w:styleId="4">
    <w:name w:val="heading 3"/>
    <w:next w:val="1"/>
    <w:qFormat/>
    <w:uiPriority w:val="0"/>
    <w:rPr>
      <w:rFonts w:ascii="Noto Serif CJK SC" w:hAnsi="Noto Serif CJK SC" w:eastAsia="Noto Serif CJK SC" w:cs="Noto Serif CJK SC"/>
      <w:color w:val="1F4D78"/>
      <w:sz w:val="24"/>
      <w:szCs w:val="24"/>
    </w:rPr>
  </w:style>
  <w:style w:type="paragraph" w:styleId="5">
    <w:name w:val="heading 4"/>
    <w:next w:val="1"/>
    <w:qFormat/>
    <w:uiPriority w:val="0"/>
    <w:rPr>
      <w:rFonts w:ascii="Noto Serif CJK SC" w:hAnsi="Noto Serif CJK SC" w:eastAsia="Noto Serif CJK SC" w:cs="Noto Serif CJK SC"/>
      <w:i/>
      <w:iCs/>
      <w:color w:val="2E74B5"/>
      <w:sz w:val="24"/>
      <w:szCs w:val="24"/>
    </w:rPr>
  </w:style>
  <w:style w:type="paragraph" w:styleId="6">
    <w:name w:val="heading 5"/>
    <w:next w:val="1"/>
    <w:qFormat/>
    <w:uiPriority w:val="0"/>
    <w:rPr>
      <w:rFonts w:ascii="Noto Serif CJK SC" w:hAnsi="Noto Serif CJK SC" w:eastAsia="Noto Serif CJK SC" w:cs="Noto Serif CJK SC"/>
      <w:color w:val="2E74B5"/>
      <w:sz w:val="24"/>
      <w:szCs w:val="24"/>
    </w:rPr>
  </w:style>
  <w:style w:type="paragraph" w:styleId="7">
    <w:name w:val="heading 6"/>
    <w:next w:val="1"/>
    <w:qFormat/>
    <w:uiPriority w:val="0"/>
    <w:rPr>
      <w:rFonts w:ascii="Noto Serif CJK SC" w:hAnsi="Noto Serif CJK SC" w:eastAsia="Noto Serif CJK SC" w:cs="Noto Serif CJK SC"/>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Noto Serif CJK SC" w:hAnsi="Noto Serif CJK SC" w:eastAsia="Noto Serif CJK SC" w:cs="Noto Serif CJK SC"/>
      <w:sz w:val="20"/>
      <w:szCs w:val="20"/>
    </w:rPr>
  </w:style>
  <w:style w:type="paragraph" w:styleId="9">
    <w:name w:val="footnote text"/>
    <w:link w:val="17"/>
    <w:semiHidden/>
    <w:unhideWhenUsed/>
    <w:uiPriority w:val="99"/>
    <w:pPr>
      <w:spacing w:after="0" w:line="240" w:lineRule="auto"/>
    </w:pPr>
    <w:rPr>
      <w:rFonts w:ascii="Noto Serif CJK SC" w:hAnsi="Noto Serif CJK SC" w:eastAsia="Noto Serif CJK SC" w:cs="Noto Serif CJK SC"/>
      <w:sz w:val="20"/>
      <w:szCs w:val="20"/>
    </w:rPr>
  </w:style>
  <w:style w:type="paragraph" w:styleId="10">
    <w:name w:val="Title"/>
    <w:qFormat/>
    <w:uiPriority w:val="0"/>
    <w:rPr>
      <w:rFonts w:ascii="Noto Serif CJK SC" w:hAnsi="Noto Serif CJK SC" w:eastAsia="Noto Serif CJK SC" w:cs="Noto Serif CJK SC"/>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Noto Serif CJK SC" w:hAnsi="Noto Serif CJK SC" w:eastAsia="Noto Serif CJK SC" w:cs="Noto Serif CJK SC"/>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157</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2026-08-31T10:19:12Z</dcterms:created>
  <dc:creator>Zhenying Li</dc:creator>
  <cp:lastModifiedBy>zhenyingli</cp:lastModifiedBy>
  <dcterms:modified xsi:type="dcterms:W3CDTF">2026-08-31T13:10:56Z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8999C902132F7DC853D0946ABE6AE5A9_42</vt:lpwstr>
  </property>
</Properties>
</file>