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76590F">
      <w:pPr>
        <w:pStyle w:val="10"/>
        <w:spacing w:after="140"/>
        <w:jc w:val="center"/>
      </w:pPr>
      <w:r>
        <w:rPr>
          <w:rFonts w:ascii="Georgia" w:hAnsi="Georgia" w:eastAsia="Georgia" w:cs="Georgia"/>
          <w:b/>
          <w:bCs/>
          <w:sz w:val="32"/>
          <w:szCs w:val="32"/>
        </w:rPr>
        <w:t>Public-Sector AI, Bureaucratic Work, and Administrative Burden — Reading Notes</w:t>
      </w:r>
    </w:p>
    <w:p w14:paraId="216ABEBA">
      <w:pPr>
        <w:pStyle w:val="2"/>
        <w:pBdr>
          <w:bottom w:val="single" w:color="1F3864" w:sz="6" w:space="4"/>
        </w:pBdr>
        <w:spacing w:before="200" w:after="90"/>
      </w:pPr>
      <w:r>
        <w:rPr>
          <w:rFonts w:ascii="Georgia" w:hAnsi="Georgia" w:eastAsia="Georgia" w:cs="Georgia"/>
          <w:b/>
          <w:bCs/>
          <w:color w:val="1F3864"/>
          <w:sz w:val="25"/>
          <w:szCs w:val="25"/>
        </w:rPr>
        <w:t>Core shift in the literature</w:t>
      </w:r>
    </w:p>
    <w:p w14:paraId="0C97AC66">
      <w:pPr>
        <w:spacing w:after="140" w:line="260" w:lineRule="auto"/>
        <w:jc w:val="both"/>
      </w:pPr>
      <w:r>
        <w:rPr>
          <w:rFonts w:ascii="Georgia" w:hAnsi="Georgia" w:eastAsia="Georgia" w:cs="Georgia"/>
          <w:b w:val="0"/>
          <w:bCs w:val="0"/>
          <w:i w:val="0"/>
          <w:iCs w:val="0"/>
          <w:sz w:val="22"/>
          <w:szCs w:val="22"/>
        </w:rPr>
        <w:t>Research on public-sector AI is moving away from asking only whether governments adopt AI or employees want to use it, toward asking how AI enters public organizations, reorganizes bureaucratic work, and changes citizen-state inte</w:t>
      </w:r>
      <w:bookmarkStart w:id="0" w:name="_GoBack"/>
      <w:bookmarkEnd w:id="0"/>
      <w:r>
        <w:rPr>
          <w:rFonts w:ascii="Georgia" w:hAnsi="Georgia" w:eastAsia="Georgia" w:cs="Georgia"/>
          <w:b w:val="0"/>
          <w:bCs w:val="0"/>
          <w:i w:val="0"/>
          <w:iCs w:val="0"/>
          <w:sz w:val="22"/>
          <w:szCs w:val="22"/>
        </w:rPr>
        <w:t>ractions. AI's public-value consequences are not determined by technical performance alone — they depend on institutional settings, organizational capacity, human-machine work division, and oversight arrangements. Automation does not eliminate discretion; it redistributes it from face-to-face case handling to problem definition, data selection, model thresholds, interface design, and appeal procedures, which then shapes citizen-facing learning, compliance, and psychological costs.</w:t>
      </w:r>
    </w:p>
    <w:p w14:paraId="7EB4B3DB">
      <w:pPr>
        <w:spacing w:after="140" w:line="260" w:lineRule="auto"/>
        <w:jc w:val="both"/>
      </w:pPr>
      <w:r>
        <w:rPr>
          <w:rFonts w:ascii="Georgia" w:hAnsi="Georgia" w:eastAsia="Georgia" w:cs="Georgia"/>
          <w:b w:val="0"/>
          <w:bCs w:val="0"/>
          <w:i w:val="0"/>
          <w:iCs w:val="0"/>
          <w:sz w:val="22"/>
          <w:szCs w:val="22"/>
        </w:rPr>
        <w:t>Core question connecting the literature: how does public-sector AI reconfigure bureaucratic discretion and administrative costs under different institutional conditions, and what does that mean for performance, distribution, and legitimacy? The studies map onto one chain: institutional environment and public values, organizational implementation capacity, human-machine work systems and discretion, the citizen-state interface, administrative burden, and finally performance, equity, and legitimacy.</w:t>
      </w:r>
    </w:p>
    <w:p w14:paraId="7D2BF09B">
      <w:pPr>
        <w:pStyle w:val="2"/>
        <w:pBdr>
          <w:bottom w:val="single" w:color="1F3864" w:sz="6" w:space="4"/>
        </w:pBdr>
        <w:spacing w:before="200" w:after="90"/>
      </w:pPr>
      <w:r>
        <w:rPr>
          <w:rFonts w:ascii="Georgia" w:hAnsi="Georgia" w:eastAsia="Georgia" w:cs="Georgia"/>
          <w:b/>
          <w:bCs/>
          <w:color w:val="1F3864"/>
          <w:sz w:val="25"/>
          <w:szCs w:val="25"/>
        </w:rPr>
        <w:t>Adoption is not implementation</w:t>
      </w:r>
    </w:p>
    <w:p w14:paraId="2D12DAB3">
      <w:pPr>
        <w:spacing w:after="140" w:line="260" w:lineRule="auto"/>
        <w:jc w:val="both"/>
      </w:pPr>
      <w:r>
        <w:rPr>
          <w:rFonts w:ascii="Georgia" w:hAnsi="Georgia" w:eastAsia="Georgia" w:cs="Georgia"/>
          <w:b w:val="0"/>
          <w:bCs w:val="0"/>
          <w:i w:val="0"/>
          <w:iCs w:val="0"/>
          <w:sz w:val="22"/>
          <w:szCs w:val="22"/>
        </w:rPr>
        <w:t>Mergel et al. (2023) shift the field's focus from adoption to data, personnel, workflows, and oversight. Neumann, Guirguis &amp; Steiner (2024) show AI capacity needs differ by stage — exploration depends on champions and pilot funding, integration needs leadership and stable budgets, scaling raises standardization and responsibility problems — so early-pilot conditions don't automatically sustain diffusion. Wilson &amp; Broomfield (2023) find peer networks spread project know-how without necessarily building real technical understanding. Park, Oh &amp; Choi (2025) add that visibility and failure risk shape which AI applications organizations even acknowledge running. Organizational capacity isn't a control variable here — it's part of the technology's effect.</w:t>
      </w:r>
    </w:p>
    <w:p w14:paraId="68421D47">
      <w:pPr>
        <w:pStyle w:val="2"/>
        <w:pBdr>
          <w:bottom w:val="single" w:color="1F3864" w:sz="6" w:space="4"/>
        </w:pBdr>
        <w:spacing w:before="200" w:after="90"/>
      </w:pPr>
      <w:r>
        <w:rPr>
          <w:rFonts w:ascii="Georgia" w:hAnsi="Georgia" w:eastAsia="Georgia" w:cs="Georgia"/>
          <w:b/>
          <w:bCs/>
          <w:color w:val="1F3864"/>
          <w:sz w:val="25"/>
          <w:szCs w:val="25"/>
        </w:rPr>
        <w:t>Generative AI: adoption intention vs. real use</w:t>
      </w:r>
    </w:p>
    <w:p w14:paraId="7EBF4270">
      <w:pPr>
        <w:spacing w:after="140" w:line="260" w:lineRule="auto"/>
        <w:jc w:val="both"/>
      </w:pPr>
      <w:r>
        <w:rPr>
          <w:rFonts w:ascii="Georgia" w:hAnsi="Georgia" w:eastAsia="Georgia" w:cs="Georgia"/>
          <w:b w:val="0"/>
          <w:bCs w:val="0"/>
          <w:i w:val="0"/>
          <w:iCs w:val="0"/>
          <w:sz w:val="22"/>
          <w:szCs w:val="22"/>
        </w:rPr>
        <w:t>Kim and Nam (2026) examine Korean public officials and find trust and supportive culture are positively associated with self-reported GenAI use, with operational concerns weakening the trust-use link (cross-sectional, so reverse causation is possible). Zhang, Hsieh &amp; Liu (2025) find ChatGPT dependence among Taiwanese teachers correlates with effort and self-efficacy but can't establish direction. Nam &amp; Bell (2025) show framing an AI tool as risky to a minority group reduces bureaucratic support more than an efficiency frame increases it — a short-term attitudinal effect, not evidence about real deployment. None of this connects formal authorization, task-level logs, and citizen outcomes in one design — that gap is the open step.</w:t>
      </w:r>
    </w:p>
    <w:p w14:paraId="3EA73869">
      <w:pPr>
        <w:pStyle w:val="2"/>
        <w:pBdr>
          <w:bottom w:val="single" w:color="1F3864" w:sz="6" w:space="4"/>
        </w:pBdr>
        <w:spacing w:before="200" w:after="90"/>
      </w:pPr>
      <w:r>
        <w:rPr>
          <w:rFonts w:ascii="Georgia" w:hAnsi="Georgia" w:eastAsia="Georgia" w:cs="Georgia"/>
          <w:b/>
          <w:bCs/>
          <w:color w:val="1F3864"/>
          <w:sz w:val="25"/>
          <w:szCs w:val="25"/>
        </w:rPr>
        <w:t>AI and bureaucratic work: discretion relocated, not removed</w:t>
      </w:r>
    </w:p>
    <w:p w14:paraId="340BC317">
      <w:pPr>
        <w:spacing w:after="140" w:line="260" w:lineRule="auto"/>
        <w:jc w:val="both"/>
      </w:pPr>
      <w:r>
        <w:rPr>
          <w:rFonts w:ascii="Georgia" w:hAnsi="Georgia" w:eastAsia="Georgia" w:cs="Georgia"/>
          <w:b w:val="0"/>
          <w:bCs w:val="0"/>
          <w:i w:val="0"/>
          <w:iCs w:val="0"/>
          <w:sz w:val="22"/>
          <w:szCs w:val="22"/>
        </w:rPr>
        <w:t>Vogl et al. (2020) describe "algorithmic bureaucracy," where people, models, and data jointly constitute decisions. Meijer, Lorenz &amp; Wessels (2021) show the same predictive system can become an "algorithmic cage" or an "algorithmic colleague" depending on rules and culture. Giest &amp; Klievink (2024) distinguish visible job substitution from unacknowledged task drift. Keppeler (2024)'s field experiment adds the applicant side: disclosing AI use in recruitment triggers algorithm aversion — this is the direct template for Design 1. The right unit of analysis is the whole sociotechnical work system, not an isolated algorithm.</w:t>
      </w:r>
    </w:p>
    <w:p w14:paraId="538B0F9F">
      <w:pPr>
        <w:pStyle w:val="2"/>
        <w:pBdr>
          <w:bottom w:val="single" w:color="1F3864" w:sz="6" w:space="4"/>
        </w:pBdr>
        <w:spacing w:before="200" w:after="90"/>
      </w:pPr>
      <w:r>
        <w:rPr>
          <w:rFonts w:ascii="Georgia" w:hAnsi="Georgia" w:eastAsia="Georgia" w:cs="Georgia"/>
          <w:b/>
          <w:bCs/>
          <w:color w:val="1F3864"/>
          <w:sz w:val="25"/>
          <w:szCs w:val="25"/>
        </w:rPr>
        <w:t>Accountability and legitimacy</w:t>
      </w:r>
    </w:p>
    <w:p w14:paraId="43CBE21D">
      <w:pPr>
        <w:spacing w:after="140" w:line="260" w:lineRule="auto"/>
        <w:jc w:val="both"/>
      </w:pPr>
      <w:r>
        <w:rPr>
          <w:rFonts w:ascii="Georgia" w:hAnsi="Georgia" w:eastAsia="Georgia" w:cs="Georgia"/>
          <w:b w:val="0"/>
          <w:bCs w:val="0"/>
          <w:i w:val="0"/>
          <w:iCs w:val="0"/>
          <w:sz w:val="22"/>
          <w:szCs w:val="22"/>
        </w:rPr>
        <w:t>Busuioc (2021) splits accountability into three stages — investigation and information; explanation and justification; judgment, sanctions, and correction — the anchor for testing whether safeguards like explanation, human review, and appeal actually function, not just whether they're announced. Henman (2020) adds that a predictively accurate system can still violate administrative justice if people can't present exceptions or appeal. Miller &amp; Keiser (2021) find minority respondents sometimes prefer automation over a non-representative police workforce — not evidence that machines are broadly seen as fair. Pande &amp; Taeihagh (2023) on Singapore's autonomous-systems regulation show sandboxes and standards build coordination capacity but can't substitute for enforcement and data rights.</w:t>
      </w:r>
    </w:p>
    <w:p w14:paraId="421B05C5">
      <w:pPr>
        <w:pStyle w:val="2"/>
        <w:pBdr>
          <w:bottom w:val="single" w:color="1F3864" w:sz="6" w:space="4"/>
        </w:pBdr>
        <w:spacing w:before="200" w:after="90"/>
      </w:pPr>
      <w:r>
        <w:rPr>
          <w:rFonts w:ascii="Georgia" w:hAnsi="Georgia" w:eastAsia="Georgia" w:cs="Georgia"/>
          <w:b/>
          <w:bCs/>
          <w:color w:val="1F3864"/>
          <w:sz w:val="25"/>
          <w:szCs w:val="25"/>
        </w:rPr>
        <w:t>Administrative burden as a linking framework</w:t>
      </w:r>
    </w:p>
    <w:p w14:paraId="37B189ED">
      <w:pPr>
        <w:spacing w:after="140" w:line="260" w:lineRule="auto"/>
        <w:jc w:val="both"/>
      </w:pPr>
      <w:r>
        <w:rPr>
          <w:rFonts w:ascii="Georgia" w:hAnsi="Georgia" w:eastAsia="Georgia" w:cs="Georgia"/>
          <w:b w:val="0"/>
          <w:bCs w:val="0"/>
          <w:i w:val="0"/>
          <w:iCs w:val="0"/>
          <w:sz w:val="22"/>
          <w:szCs w:val="22"/>
        </w:rPr>
        <w:t>Halling &amp; Baekgaard (2024)'s systematic review maps this literature as a chain running from state action through implementation and communication, subjective experience, individual consequences, burden tolerance, and policy feedback — formal rules, subjective burden, and downstream outcomes need to be kept distinct. Burden itself splits into learning, compliance, and psychological costs (Christensen et al. 2020; Döring &amp; Madsen 2022). Digital reform cuts some burden while creating other burden: Aoki (2025)'s conjoint analysis finds citizens report preferring one-stop/proactive service designs that would reduce search and travel, though such designs can also create digital exclusion and appeal difficulty — this is a stated-preference result, not a measured effect of a deployed service; Hegemann &amp; Ritz (2026)'s technology-organization-individual framework stresses that back-end architecture and channel design shape citizen experience before anyone opens a webpage. The key correction for AI research: lower internal processing cost does not mean lower total social cost — AI can simply shift search, verification, and correction onto citizens.</w:t>
      </w:r>
    </w:p>
    <w:p w14:paraId="05425EEC">
      <w:pPr>
        <w:pStyle w:val="2"/>
        <w:pBdr>
          <w:bottom w:val="single" w:color="1F3864" w:sz="6" w:space="4"/>
        </w:pBdr>
        <w:spacing w:before="200" w:after="90"/>
      </w:pPr>
      <w:r>
        <w:rPr>
          <w:rFonts w:ascii="Georgia" w:hAnsi="Georgia" w:eastAsia="Georgia" w:cs="Georgia"/>
          <w:b/>
          <w:bCs/>
          <w:color w:val="1F3864"/>
          <w:sz w:val="25"/>
          <w:szCs w:val="25"/>
        </w:rPr>
        <w:t>Burden, equity, and political choice</w:t>
      </w:r>
    </w:p>
    <w:p w14:paraId="682F1E02">
      <w:pPr>
        <w:spacing w:after="140" w:line="260" w:lineRule="auto"/>
        <w:jc w:val="both"/>
      </w:pPr>
      <w:r>
        <w:rPr>
          <w:rFonts w:ascii="Georgia" w:hAnsi="Georgia" w:eastAsia="Georgia" w:cs="Georgia"/>
          <w:b w:val="0"/>
          <w:bCs w:val="0"/>
          <w:i w:val="0"/>
          <w:iCs w:val="0"/>
          <w:sz w:val="22"/>
          <w:szCs w:val="22"/>
        </w:rPr>
        <w:t>Bell &amp; Meyer (2024) provide causal evidence: reduced counselor workload increased aid receipt among low-income and minority students. Herd &amp; Moynihan (2025) argue procedures can regulate bodies and identity, not just benefit access. Benish et al. (2024)'s who-what-how typology shows burden reduction is a design choice, not a neutral technical one.</w:t>
      </w:r>
    </w:p>
    <w:p w14:paraId="4D9F6FA9">
      <w:pPr>
        <w:pStyle w:val="2"/>
        <w:pBdr>
          <w:bottom w:val="single" w:color="1F3864" w:sz="6" w:space="4"/>
        </w:pBdr>
        <w:spacing w:before="200" w:after="90"/>
      </w:pPr>
      <w:r>
        <w:rPr>
          <w:rFonts w:ascii="Georgia" w:hAnsi="Georgia" w:eastAsia="Georgia" w:cs="Georgia"/>
          <w:b/>
          <w:bCs/>
          <w:color w:val="1F3864"/>
          <w:sz w:val="25"/>
          <w:szCs w:val="25"/>
        </w:rPr>
        <w:t>Four things I've taken from the literature so far</w:t>
      </w:r>
    </w:p>
    <w:p w14:paraId="088AF944">
      <w:pPr>
        <w:pStyle w:val="16"/>
        <w:numPr>
          <w:ilvl w:val="0"/>
          <w:numId w:val="1"/>
        </w:numPr>
        <w:spacing w:after="60" w:line="240" w:lineRule="auto"/>
        <w:jc w:val="both"/>
      </w:pPr>
      <w:r>
        <w:rPr>
          <w:rFonts w:ascii="Georgia" w:hAnsi="Georgia" w:eastAsia="Georgia" w:cs="Georgia"/>
          <w:b w:val="0"/>
          <w:bCs w:val="0"/>
          <w:i w:val="0"/>
          <w:iCs w:val="0"/>
          <w:sz w:val="22"/>
          <w:szCs w:val="22"/>
        </w:rPr>
        <w:t>AI's outcomes depend on institutional and organizational embeddedness — data, budgets, skills, workflows, leadership, and network resources — not on technical capability alone.</w:t>
      </w:r>
    </w:p>
    <w:p w14:paraId="0858D691">
      <w:pPr>
        <w:pStyle w:val="16"/>
        <w:numPr>
          <w:ilvl w:val="0"/>
          <w:numId w:val="1"/>
        </w:numPr>
        <w:spacing w:after="60" w:line="240" w:lineRule="auto"/>
        <w:jc w:val="both"/>
      </w:pPr>
      <w:r>
        <w:rPr>
          <w:rFonts w:ascii="Georgia" w:hAnsi="Georgia" w:eastAsia="Georgia" w:cs="Georgia"/>
          <w:b w:val="0"/>
          <w:bCs w:val="0"/>
          <w:i w:val="0"/>
          <w:iCs w:val="0"/>
          <w:sz w:val="22"/>
          <w:szCs w:val="22"/>
        </w:rPr>
        <w:t>Automation redistributes bureaucratic discretion rather than eliminating it, shifting it from face-to-face case handling to problem definition, data selection, model thresholds, and appeal design.</w:t>
      </w:r>
    </w:p>
    <w:p w14:paraId="5976DED5">
      <w:pPr>
        <w:pStyle w:val="16"/>
        <w:numPr>
          <w:ilvl w:val="0"/>
          <w:numId w:val="1"/>
        </w:numPr>
        <w:spacing w:after="60" w:line="240" w:lineRule="auto"/>
        <w:jc w:val="both"/>
      </w:pPr>
      <w:r>
        <w:rPr>
          <w:rFonts w:ascii="Georgia" w:hAnsi="Georgia" w:eastAsia="Georgia" w:cs="Georgia"/>
          <w:b w:val="0"/>
          <w:bCs w:val="0"/>
          <w:i w:val="0"/>
          <w:iCs w:val="0"/>
          <w:sz w:val="22"/>
          <w:szCs w:val="22"/>
        </w:rPr>
        <w:t>Administrative burden is a key link between organizational design and citizen outcomes: efficiency gains inside an agency can simply shift search, verification, and correction costs onto citizens instead of removing them.</w:t>
      </w:r>
    </w:p>
    <w:p w14:paraId="11C67C89">
      <w:pPr>
        <w:pStyle w:val="16"/>
        <w:numPr>
          <w:ilvl w:val="0"/>
          <w:numId w:val="1"/>
        </w:numPr>
        <w:spacing w:after="60" w:line="240" w:lineRule="auto"/>
        <w:jc w:val="both"/>
      </w:pPr>
      <w:r>
        <w:rPr>
          <w:rFonts w:ascii="Georgia" w:hAnsi="Georgia" w:eastAsia="Georgia" w:cs="Georgia"/>
          <w:b w:val="0"/>
          <w:bCs w:val="0"/>
          <w:i w:val="0"/>
          <w:iCs w:val="0"/>
          <w:sz w:val="22"/>
          <w:szCs w:val="22"/>
        </w:rPr>
        <w:t>Legitimacy and burden reduction are not neutral technical outcomes — they depend on processes that allow explanation, contestation, and correction, and on political choices about whose costs count and who benefits.</w:t>
      </w:r>
    </w:p>
    <w:p w14:paraId="087C3699">
      <w:pPr>
        <w:pStyle w:val="2"/>
        <w:pBdr>
          <w:bottom w:val="single" w:color="1F3864" w:sz="6" w:space="4"/>
        </w:pBdr>
        <w:spacing w:before="200" w:after="90"/>
      </w:pPr>
      <w:r>
        <w:rPr>
          <w:rFonts w:ascii="Georgia" w:hAnsi="Georgia" w:eastAsia="Georgia" w:cs="Georgia"/>
          <w:b/>
          <w:bCs/>
          <w:color w:val="1F3864"/>
          <w:sz w:val="25"/>
          <w:szCs w:val="25"/>
        </w:rPr>
        <w:t>Main gaps</w:t>
      </w:r>
    </w:p>
    <w:p w14:paraId="5A85FC99">
      <w:pPr>
        <w:spacing w:after="140" w:line="260" w:lineRule="auto"/>
        <w:jc w:val="both"/>
      </w:pPr>
      <w:r>
        <w:rPr>
          <w:rFonts w:ascii="Georgia" w:hAnsi="Georgia" w:eastAsia="Georgia" w:cs="Georgia"/>
          <w:b w:val="0"/>
          <w:bCs w:val="0"/>
          <w:i w:val="0"/>
          <w:iCs w:val="0"/>
          <w:sz w:val="22"/>
          <w:szCs w:val="22"/>
        </w:rPr>
        <w:t>The literature is fragmented across the implementation chain — organizational research, employee-attitude research, burden research, and accountability research rarely appear in the same design, so we can't yet trace whether organizational support leads to real task-level use, whether use changes frontline decisions, or whether that reduces or transfers citizen burden. Measured outcomes often don't match theoretical claims (attitude is not real fairness; clicks are not completed applications). There is little longitudinal, task-level, multi-source data, and governance safeguards are proposed normatively far more often than tested as real institutional arrangements. Task-level, organizational, and citizen-facing evidence on Asia's public sector specifically also remains limited.</w:t>
      </w:r>
    </w:p>
    <w:p w14:paraId="5A818365">
      <w:pPr>
        <w:pStyle w:val="2"/>
        <w:pBdr>
          <w:bottom w:val="single" w:color="1F3864" w:sz="6" w:space="4"/>
        </w:pBdr>
        <w:spacing w:before="200" w:after="90"/>
      </w:pPr>
      <w:r>
        <w:rPr>
          <w:rFonts w:ascii="Georgia" w:hAnsi="Georgia" w:eastAsia="Georgia" w:cs="Georgia"/>
          <w:b/>
          <w:bCs/>
          <w:color w:val="1F3864"/>
          <w:sz w:val="25"/>
          <w:szCs w:val="25"/>
        </w:rPr>
        <w:br w:type="textWrapping"/>
      </w:r>
      <w:r>
        <w:rPr>
          <w:rFonts w:ascii="Georgia" w:hAnsi="Georgia" w:eastAsia="Georgia" w:cs="Georgia"/>
          <w:b/>
          <w:bCs/>
          <w:color w:val="1F3864"/>
          <w:sz w:val="25"/>
          <w:szCs w:val="25"/>
        </w:rPr>
        <w:br w:type="textWrapping"/>
      </w:r>
      <w:r>
        <w:rPr>
          <w:rFonts w:ascii="Georgia" w:hAnsi="Georgia" w:eastAsia="Georgia" w:cs="Georgia"/>
          <w:b/>
          <w:bCs/>
          <w:color w:val="1F3864"/>
          <w:sz w:val="25"/>
          <w:szCs w:val="25"/>
        </w:rPr>
        <w:t>References</w:t>
      </w:r>
    </w:p>
    <w:p w14:paraId="5718A2C2">
      <w:pPr>
        <w:pStyle w:val="16"/>
        <w:numPr>
          <w:ilvl w:val="0"/>
          <w:numId w:val="1"/>
        </w:numPr>
        <w:spacing w:after="40" w:line="210" w:lineRule="auto"/>
        <w:jc w:val="both"/>
      </w:pPr>
      <w:r>
        <w:rPr>
          <w:rFonts w:ascii="Georgia" w:hAnsi="Georgia" w:eastAsia="Georgia" w:cs="Georgia"/>
          <w:b w:val="0"/>
          <w:bCs w:val="0"/>
          <w:i w:val="0"/>
          <w:iCs w:val="0"/>
          <w:sz w:val="19"/>
          <w:szCs w:val="19"/>
        </w:rPr>
        <w:t>Aoki, N. (2025). En route to zero bureaucracy and invisible government: a conjoint analysis of the effects of transforming the state-citizen interface.</w:t>
      </w:r>
    </w:p>
    <w:p w14:paraId="652BB448">
      <w:pPr>
        <w:pStyle w:val="16"/>
        <w:numPr>
          <w:ilvl w:val="0"/>
          <w:numId w:val="1"/>
        </w:numPr>
        <w:spacing w:after="40" w:line="210" w:lineRule="auto"/>
        <w:jc w:val="both"/>
      </w:pPr>
      <w:r>
        <w:rPr>
          <w:rFonts w:ascii="Georgia" w:hAnsi="Georgia" w:eastAsia="Georgia" w:cs="Georgia"/>
          <w:b w:val="0"/>
          <w:bCs w:val="0"/>
          <w:i w:val="0"/>
          <w:iCs w:val="0"/>
          <w:sz w:val="19"/>
          <w:szCs w:val="19"/>
        </w:rPr>
        <w:t>Bell, E., &amp; Meyer, K. (2024). Does Reducing Street-Level Bureaucrats' Workload Enhance Equity in Program Access? Evidence from Burdensome College Financial Aid Programs.</w:t>
      </w:r>
    </w:p>
    <w:p w14:paraId="25DBBB1D">
      <w:pPr>
        <w:pStyle w:val="16"/>
        <w:numPr>
          <w:ilvl w:val="0"/>
          <w:numId w:val="1"/>
        </w:numPr>
        <w:spacing w:after="40" w:line="210" w:lineRule="auto"/>
        <w:jc w:val="both"/>
      </w:pPr>
      <w:r>
        <w:rPr>
          <w:rFonts w:ascii="Georgia" w:hAnsi="Georgia" w:eastAsia="Georgia" w:cs="Georgia"/>
          <w:b w:val="0"/>
          <w:bCs w:val="0"/>
          <w:i w:val="0"/>
          <w:iCs w:val="0"/>
          <w:sz w:val="19"/>
          <w:szCs w:val="19"/>
        </w:rPr>
        <w:t>Benish, A., Tarshish, N., Holler, R., &amp; Gal, J. (2024). Types of administrative burden reduction strategies: who, what, and how.</w:t>
      </w:r>
    </w:p>
    <w:p w14:paraId="4F6ED01F">
      <w:pPr>
        <w:pStyle w:val="16"/>
        <w:numPr>
          <w:ilvl w:val="0"/>
          <w:numId w:val="1"/>
        </w:numPr>
        <w:spacing w:after="40" w:line="210" w:lineRule="auto"/>
        <w:jc w:val="both"/>
      </w:pPr>
      <w:r>
        <w:rPr>
          <w:rFonts w:ascii="Georgia" w:hAnsi="Georgia" w:eastAsia="Georgia" w:cs="Georgia"/>
          <w:b w:val="0"/>
          <w:bCs w:val="0"/>
          <w:i w:val="0"/>
          <w:iCs w:val="0"/>
          <w:sz w:val="19"/>
          <w:szCs w:val="19"/>
        </w:rPr>
        <w:t>Busuioc, M. (2021). Accountable Artificial Intelligence: Holding Algorithms to Account.</w:t>
      </w:r>
    </w:p>
    <w:p w14:paraId="5CCDF88B">
      <w:pPr>
        <w:pStyle w:val="16"/>
        <w:numPr>
          <w:ilvl w:val="0"/>
          <w:numId w:val="1"/>
        </w:numPr>
        <w:spacing w:after="40" w:line="210" w:lineRule="auto"/>
        <w:jc w:val="both"/>
      </w:pPr>
      <w:r>
        <w:rPr>
          <w:rFonts w:ascii="Georgia" w:hAnsi="Georgia" w:eastAsia="Georgia" w:cs="Georgia"/>
          <w:b w:val="0"/>
          <w:bCs w:val="0"/>
          <w:i w:val="0"/>
          <w:iCs w:val="0"/>
          <w:sz w:val="19"/>
          <w:szCs w:val="19"/>
        </w:rPr>
        <w:t>Christensen, J., Aarøe, L., Baekgaard, M., Herd, P., &amp; Moynihan, D. P. (2020). Human Capital and Administrative Burden: The Role of Cognitive Resources in Citizen-State Interactions.</w:t>
      </w:r>
    </w:p>
    <w:p w14:paraId="091E0A1F">
      <w:pPr>
        <w:pStyle w:val="16"/>
        <w:numPr>
          <w:ilvl w:val="0"/>
          <w:numId w:val="1"/>
        </w:numPr>
        <w:spacing w:after="40" w:line="210" w:lineRule="auto"/>
        <w:jc w:val="both"/>
      </w:pPr>
      <w:r>
        <w:rPr>
          <w:rFonts w:ascii="Georgia" w:hAnsi="Georgia" w:eastAsia="Georgia" w:cs="Georgia"/>
          <w:b w:val="0"/>
          <w:bCs w:val="0"/>
          <w:i w:val="0"/>
          <w:iCs w:val="0"/>
          <w:sz w:val="19"/>
          <w:szCs w:val="19"/>
        </w:rPr>
        <w:t>Döring, M., &amp; Madsen, J. K. (2022). Mitigating Psychological Costs: The Role of Citizens' Administrative Literacy and Social Capital.</w:t>
      </w:r>
    </w:p>
    <w:p w14:paraId="7781C538">
      <w:pPr>
        <w:pStyle w:val="16"/>
        <w:numPr>
          <w:ilvl w:val="0"/>
          <w:numId w:val="1"/>
        </w:numPr>
        <w:spacing w:after="40" w:line="210" w:lineRule="auto"/>
        <w:jc w:val="both"/>
      </w:pPr>
      <w:r>
        <w:rPr>
          <w:rFonts w:ascii="Georgia" w:hAnsi="Georgia" w:eastAsia="Georgia" w:cs="Georgia"/>
          <w:b w:val="0"/>
          <w:bCs w:val="0"/>
          <w:i w:val="0"/>
          <w:iCs w:val="0"/>
          <w:sz w:val="19"/>
          <w:szCs w:val="19"/>
        </w:rPr>
        <w:t>Giest, S. N., &amp; Klievink, B. (2024). More than a digital system: how AI is changing the role of bureaucrats in different organizational contexts.</w:t>
      </w:r>
    </w:p>
    <w:p w14:paraId="645C8006">
      <w:pPr>
        <w:pStyle w:val="16"/>
        <w:numPr>
          <w:ilvl w:val="0"/>
          <w:numId w:val="1"/>
        </w:numPr>
        <w:spacing w:after="40" w:line="210" w:lineRule="auto"/>
        <w:jc w:val="both"/>
      </w:pPr>
      <w:r>
        <w:rPr>
          <w:rFonts w:ascii="Georgia" w:hAnsi="Georgia" w:eastAsia="Georgia" w:cs="Georgia"/>
          <w:b w:val="0"/>
          <w:bCs w:val="0"/>
          <w:i w:val="0"/>
          <w:iCs w:val="0"/>
          <w:sz w:val="19"/>
          <w:szCs w:val="19"/>
        </w:rPr>
        <w:t>Halling, A., &amp; Baekgaard, M. (2024). Administrative Burden in Citizen-State Interactions: A Systematic Literature Review.</w:t>
      </w:r>
    </w:p>
    <w:p w14:paraId="4ABB11F5">
      <w:pPr>
        <w:pStyle w:val="16"/>
        <w:numPr>
          <w:ilvl w:val="0"/>
          <w:numId w:val="1"/>
        </w:numPr>
        <w:spacing w:after="40" w:line="210" w:lineRule="auto"/>
        <w:jc w:val="both"/>
      </w:pPr>
      <w:r>
        <w:rPr>
          <w:rFonts w:ascii="Georgia" w:hAnsi="Georgia" w:eastAsia="Georgia" w:cs="Georgia"/>
          <w:b w:val="0"/>
          <w:bCs w:val="0"/>
          <w:i w:val="0"/>
          <w:iCs w:val="0"/>
          <w:sz w:val="19"/>
          <w:szCs w:val="19"/>
        </w:rPr>
        <w:t>Hegemann, M., &amp; Ritz, A. (2026). Administrative burden in digital service provision: a systematic literature review and research agenda.</w:t>
      </w:r>
    </w:p>
    <w:p w14:paraId="599BFDDD">
      <w:pPr>
        <w:pStyle w:val="16"/>
        <w:numPr>
          <w:ilvl w:val="0"/>
          <w:numId w:val="1"/>
        </w:numPr>
        <w:spacing w:after="40" w:line="210" w:lineRule="auto"/>
        <w:jc w:val="both"/>
      </w:pPr>
      <w:r>
        <w:rPr>
          <w:rFonts w:ascii="Georgia" w:hAnsi="Georgia" w:eastAsia="Georgia" w:cs="Georgia"/>
          <w:b w:val="0"/>
          <w:bCs w:val="0"/>
          <w:i w:val="0"/>
          <w:iCs w:val="0"/>
          <w:sz w:val="19"/>
          <w:szCs w:val="19"/>
        </w:rPr>
        <w:t>Henman, P. (2020). Improving public services using artificial intelligence: possibilities, pitfalls, governance.</w:t>
      </w:r>
    </w:p>
    <w:p w14:paraId="612FC408">
      <w:pPr>
        <w:pStyle w:val="16"/>
        <w:numPr>
          <w:ilvl w:val="0"/>
          <w:numId w:val="1"/>
        </w:numPr>
        <w:spacing w:after="40" w:line="210" w:lineRule="auto"/>
        <w:jc w:val="both"/>
      </w:pPr>
      <w:r>
        <w:rPr>
          <w:rFonts w:ascii="Georgia" w:hAnsi="Georgia" w:eastAsia="Georgia" w:cs="Georgia"/>
          <w:b w:val="0"/>
          <w:bCs w:val="0"/>
          <w:i w:val="0"/>
          <w:iCs w:val="0"/>
          <w:sz w:val="19"/>
          <w:szCs w:val="19"/>
        </w:rPr>
        <w:t>Herd, P., &amp; Moynihan, D. (2025). Gendered administrative burden: regulating gendered bodies, labor, and identity.</w:t>
      </w:r>
    </w:p>
    <w:p w14:paraId="697F2B11">
      <w:pPr>
        <w:pStyle w:val="16"/>
        <w:numPr>
          <w:ilvl w:val="0"/>
          <w:numId w:val="1"/>
        </w:numPr>
        <w:spacing w:after="40" w:line="210" w:lineRule="auto"/>
        <w:jc w:val="both"/>
      </w:pPr>
      <w:r>
        <w:rPr>
          <w:rFonts w:ascii="Georgia" w:hAnsi="Georgia" w:eastAsia="Georgia" w:cs="Georgia"/>
          <w:b w:val="0"/>
          <w:bCs w:val="0"/>
          <w:i w:val="0"/>
          <w:iCs w:val="0"/>
          <w:sz w:val="19"/>
          <w:szCs w:val="19"/>
        </w:rPr>
        <w:t>Keppeler, F. (2024). No Thanks, Dear AI! Understanding the Effects of Disclosure and Deployment of Artificial Intelligence in Public Sector Recruitment.</w:t>
      </w:r>
    </w:p>
    <w:p w14:paraId="16FC7376">
      <w:pPr>
        <w:pStyle w:val="16"/>
        <w:numPr>
          <w:ilvl w:val="0"/>
          <w:numId w:val="1"/>
        </w:numPr>
        <w:spacing w:after="40" w:line="210" w:lineRule="auto"/>
        <w:jc w:val="both"/>
      </w:pPr>
      <w:r>
        <w:rPr>
          <w:rFonts w:ascii="Georgia" w:hAnsi="Georgia" w:eastAsia="Georgia" w:cs="Georgia"/>
          <w:b w:val="0"/>
          <w:bCs w:val="0"/>
          <w:i w:val="0"/>
          <w:iCs w:val="0"/>
          <w:sz w:val="19"/>
          <w:szCs w:val="19"/>
        </w:rPr>
        <w:t>Kim, S., &amp; Nam, J. (2026). Beyond Adoption: Conditions Shaping Public Officials' Use of AI Chatbots in Government.</w:t>
      </w:r>
    </w:p>
    <w:p w14:paraId="61498E9B">
      <w:pPr>
        <w:pStyle w:val="16"/>
        <w:numPr>
          <w:ilvl w:val="0"/>
          <w:numId w:val="1"/>
        </w:numPr>
        <w:spacing w:after="40" w:line="210" w:lineRule="auto"/>
        <w:jc w:val="both"/>
      </w:pPr>
      <w:r>
        <w:rPr>
          <w:rFonts w:ascii="Georgia" w:hAnsi="Georgia" w:eastAsia="Georgia" w:cs="Georgia"/>
          <w:b w:val="0"/>
          <w:bCs w:val="0"/>
          <w:i w:val="0"/>
          <w:iCs w:val="0"/>
          <w:sz w:val="19"/>
          <w:szCs w:val="19"/>
        </w:rPr>
        <w:t>Meijer, A., Lorenz, L., &amp; Wessels, M. (2021). Algorithmization of Bureaucratic Organizations: Using a Practice Lens to Study How Context Shapes Predictive Policing Systems.</w:t>
      </w:r>
    </w:p>
    <w:p w14:paraId="143DAD9C">
      <w:pPr>
        <w:pStyle w:val="16"/>
        <w:numPr>
          <w:ilvl w:val="0"/>
          <w:numId w:val="1"/>
        </w:numPr>
        <w:spacing w:after="40" w:line="210" w:lineRule="auto"/>
        <w:jc w:val="both"/>
      </w:pPr>
      <w:r>
        <w:rPr>
          <w:rFonts w:ascii="Georgia" w:hAnsi="Georgia" w:eastAsia="Georgia" w:cs="Georgia"/>
          <w:b w:val="0"/>
          <w:bCs w:val="0"/>
          <w:i w:val="0"/>
          <w:iCs w:val="0"/>
          <w:sz w:val="19"/>
          <w:szCs w:val="19"/>
        </w:rPr>
        <w:t>Mergel, I., Dickinson, H., Stenvall, J., &amp; Gasco, M. (2023). Implementing AI in the public sector.</w:t>
      </w:r>
    </w:p>
    <w:p w14:paraId="38C8D45E">
      <w:pPr>
        <w:pStyle w:val="16"/>
        <w:numPr>
          <w:ilvl w:val="0"/>
          <w:numId w:val="1"/>
        </w:numPr>
        <w:spacing w:after="40" w:line="210" w:lineRule="auto"/>
        <w:jc w:val="both"/>
      </w:pPr>
      <w:r>
        <w:rPr>
          <w:rFonts w:ascii="Georgia" w:hAnsi="Georgia" w:eastAsia="Georgia" w:cs="Georgia"/>
          <w:b w:val="0"/>
          <w:bCs w:val="0"/>
          <w:i w:val="0"/>
          <w:iCs w:val="0"/>
          <w:sz w:val="19"/>
          <w:szCs w:val="19"/>
        </w:rPr>
        <w:t>Miller, S. M., &amp; Keiser, L. R. (2021). Representative Bureaucracy and Attitudes Toward Automated Decision Making.</w:t>
      </w:r>
    </w:p>
    <w:p w14:paraId="4A2115D5">
      <w:pPr>
        <w:pStyle w:val="16"/>
        <w:numPr>
          <w:ilvl w:val="0"/>
          <w:numId w:val="1"/>
        </w:numPr>
        <w:spacing w:after="40" w:line="210" w:lineRule="auto"/>
        <w:jc w:val="both"/>
      </w:pPr>
      <w:r>
        <w:rPr>
          <w:rFonts w:ascii="Georgia" w:hAnsi="Georgia" w:eastAsia="Georgia" w:cs="Georgia"/>
          <w:b w:val="0"/>
          <w:bCs w:val="0"/>
          <w:i w:val="0"/>
          <w:iCs w:val="0"/>
          <w:sz w:val="19"/>
          <w:szCs w:val="19"/>
        </w:rPr>
        <w:t>Nam, J., &amp; Bell, E. (2025). Efficiency or Equity? How Public Values Shape Bureaucrats' Willingness to Use AI.</w:t>
      </w:r>
    </w:p>
    <w:p w14:paraId="6F28C297">
      <w:pPr>
        <w:pStyle w:val="16"/>
        <w:numPr>
          <w:ilvl w:val="0"/>
          <w:numId w:val="1"/>
        </w:numPr>
        <w:spacing w:after="40" w:line="210" w:lineRule="auto"/>
        <w:jc w:val="both"/>
      </w:pPr>
      <w:r>
        <w:rPr>
          <w:rFonts w:ascii="Georgia" w:hAnsi="Georgia" w:eastAsia="Georgia" w:cs="Georgia"/>
          <w:b w:val="0"/>
          <w:bCs w:val="0"/>
          <w:i w:val="0"/>
          <w:iCs w:val="0"/>
          <w:sz w:val="19"/>
          <w:szCs w:val="19"/>
        </w:rPr>
        <w:t>Neumann, O., Guirguis, K., &amp; Steiner, R. (2024). Exploring artificial intelligence adoption in public organizations.</w:t>
      </w:r>
    </w:p>
    <w:p w14:paraId="7999FE2B">
      <w:pPr>
        <w:pStyle w:val="16"/>
        <w:numPr>
          <w:ilvl w:val="0"/>
          <w:numId w:val="1"/>
        </w:numPr>
        <w:spacing w:after="40" w:line="210" w:lineRule="auto"/>
        <w:jc w:val="both"/>
      </w:pPr>
      <w:r>
        <w:rPr>
          <w:rFonts w:ascii="Georgia" w:hAnsi="Georgia" w:eastAsia="Georgia" w:cs="Georgia"/>
          <w:b w:val="0"/>
          <w:bCs w:val="0"/>
          <w:i w:val="0"/>
          <w:iCs w:val="0"/>
          <w:sz w:val="19"/>
          <w:szCs w:val="19"/>
        </w:rPr>
        <w:t>Pande, D., &amp; Taeihagh, A. (2023). Navigating the governance challenges of disruptive technologies: insights from regulation of autonomous systems in Singapore.</w:t>
      </w:r>
    </w:p>
    <w:p w14:paraId="2C1882DC">
      <w:pPr>
        <w:pStyle w:val="16"/>
        <w:numPr>
          <w:ilvl w:val="0"/>
          <w:numId w:val="1"/>
        </w:numPr>
        <w:spacing w:after="40" w:line="210" w:lineRule="auto"/>
        <w:jc w:val="both"/>
      </w:pPr>
      <w:r>
        <w:rPr>
          <w:rFonts w:ascii="Georgia" w:hAnsi="Georgia" w:eastAsia="Georgia" w:cs="Georgia"/>
          <w:b w:val="0"/>
          <w:bCs w:val="0"/>
          <w:i w:val="0"/>
          <w:iCs w:val="0"/>
          <w:sz w:val="19"/>
          <w:szCs w:val="19"/>
        </w:rPr>
        <w:t>Park, J., Oh, D., &amp; Choi, D. (2025). Hidden AI innovations in the public sector.</w:t>
      </w:r>
    </w:p>
    <w:p w14:paraId="6942A547">
      <w:pPr>
        <w:pStyle w:val="16"/>
        <w:numPr>
          <w:ilvl w:val="0"/>
          <w:numId w:val="1"/>
        </w:numPr>
        <w:spacing w:after="40" w:line="210" w:lineRule="auto"/>
        <w:jc w:val="both"/>
      </w:pPr>
      <w:r>
        <w:rPr>
          <w:rFonts w:ascii="Georgia" w:hAnsi="Georgia" w:eastAsia="Georgia" w:cs="Georgia"/>
          <w:b w:val="0"/>
          <w:bCs w:val="0"/>
          <w:i w:val="0"/>
          <w:iCs w:val="0"/>
          <w:sz w:val="19"/>
          <w:szCs w:val="19"/>
        </w:rPr>
        <w:t>Vogl, T. M., Seidelin, C., Ganesh, B., &amp; Bright, J. (2020). Smart Technology and the Emergence of Algorithmic Bureaucracy: Artificial Intelligence in UK Local Authorities.</w:t>
      </w:r>
    </w:p>
    <w:p w14:paraId="57CF64AB">
      <w:pPr>
        <w:pStyle w:val="16"/>
        <w:numPr>
          <w:ilvl w:val="0"/>
          <w:numId w:val="1"/>
        </w:numPr>
        <w:spacing w:after="40" w:line="210" w:lineRule="auto"/>
        <w:jc w:val="both"/>
      </w:pPr>
      <w:r>
        <w:rPr>
          <w:rFonts w:ascii="Georgia" w:hAnsi="Georgia" w:eastAsia="Georgia" w:cs="Georgia"/>
          <w:b w:val="0"/>
          <w:bCs w:val="0"/>
          <w:i w:val="0"/>
          <w:iCs w:val="0"/>
          <w:sz w:val="19"/>
          <w:szCs w:val="19"/>
        </w:rPr>
        <w:t>Wilson, C., &amp; Broomfield, H. (2023). Learning how to do AI: managing organizational boundaries in an intergovernmental learning forum.</w:t>
      </w:r>
    </w:p>
    <w:p w14:paraId="3720BE14">
      <w:pPr>
        <w:pStyle w:val="16"/>
        <w:numPr>
          <w:ilvl w:val="0"/>
          <w:numId w:val="1"/>
        </w:numPr>
        <w:spacing w:after="40" w:line="210" w:lineRule="auto"/>
        <w:jc w:val="both"/>
      </w:pPr>
      <w:r>
        <w:rPr>
          <w:rFonts w:ascii="Georgia" w:hAnsi="Georgia" w:eastAsia="Georgia" w:cs="Georgia"/>
          <w:b w:val="0"/>
          <w:bCs w:val="0"/>
          <w:i w:val="0"/>
          <w:iCs w:val="0"/>
          <w:sz w:val="19"/>
          <w:szCs w:val="19"/>
        </w:rPr>
        <w:t>Zhang, Y., Hsieh, C.-W., &amp; Liu, F. (2025). Employee Response to GenAI: Exploring the Effect of ChatGPT Dependence on Work Effort.</w:t>
      </w:r>
    </w:p>
    <w:sectPr>
      <w:pgSz w:w="11906" w:h="16838"/>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86"/>
    <w:family w:val="auto"/>
    <w:pitch w:val="default"/>
    <w:sig w:usb0="00000287" w:usb1="00000000" w:usb2="00000000" w:usb3="00000000" w:csb0="200000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E952B9"/>
    <w:multiLevelType w:val="multilevel"/>
    <w:tmpl w:val="73E952B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useFELayout/>
    <w:compatSetting w:name="compatibilityMode" w:uri="http://schemas.microsoft.com/office/word" w:val="15"/>
  </w:compat>
  <w:rsids>
    <w:rsidRoot w:val="00000000"/>
    <w:rsid w:val="7F7F18D1"/>
    <w:rsid w:val="7F97CFBF"/>
    <w:rsid w:val="BADF14AA"/>
    <w:rsid w:val="FF6A93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Georgia" w:eastAsia="Georgia" w:cs="Georg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Georgia" w:hAnsi="Georgia" w:eastAsia="Georgia" w:cs="Georgia"/>
      <w:sz w:val="22"/>
      <w:szCs w:val="22"/>
    </w:rPr>
  </w:style>
  <w:style w:type="paragraph" w:styleId="2">
    <w:name w:val="heading 1"/>
    <w:next w:val="1"/>
    <w:qFormat/>
    <w:uiPriority w:val="0"/>
    <w:rPr>
      <w:rFonts w:ascii="Georgia" w:hAnsi="Georgia" w:eastAsia="Georgia" w:cs="Georgia"/>
      <w:color w:val="2E74B5"/>
      <w:sz w:val="32"/>
      <w:szCs w:val="32"/>
    </w:rPr>
  </w:style>
  <w:style w:type="paragraph" w:styleId="3">
    <w:name w:val="heading 2"/>
    <w:next w:val="1"/>
    <w:qFormat/>
    <w:uiPriority w:val="0"/>
    <w:rPr>
      <w:rFonts w:ascii="Georgia" w:hAnsi="Georgia" w:eastAsia="Georgia" w:cs="Georgia"/>
      <w:color w:val="2E74B5"/>
      <w:sz w:val="26"/>
      <w:szCs w:val="26"/>
    </w:rPr>
  </w:style>
  <w:style w:type="paragraph" w:styleId="4">
    <w:name w:val="heading 3"/>
    <w:next w:val="1"/>
    <w:qFormat/>
    <w:uiPriority w:val="0"/>
    <w:rPr>
      <w:rFonts w:ascii="Georgia" w:hAnsi="Georgia" w:eastAsia="Georgia" w:cs="Georgia"/>
      <w:color w:val="1F4D78"/>
      <w:sz w:val="24"/>
      <w:szCs w:val="24"/>
    </w:rPr>
  </w:style>
  <w:style w:type="paragraph" w:styleId="5">
    <w:name w:val="heading 4"/>
    <w:next w:val="1"/>
    <w:qFormat/>
    <w:uiPriority w:val="0"/>
    <w:rPr>
      <w:rFonts w:ascii="Georgia" w:hAnsi="Georgia" w:eastAsia="Georgia" w:cs="Georgia"/>
      <w:i/>
      <w:iCs/>
      <w:color w:val="2E74B5"/>
      <w:sz w:val="22"/>
      <w:szCs w:val="22"/>
    </w:rPr>
  </w:style>
  <w:style w:type="paragraph" w:styleId="6">
    <w:name w:val="heading 5"/>
    <w:next w:val="1"/>
    <w:qFormat/>
    <w:uiPriority w:val="0"/>
    <w:rPr>
      <w:rFonts w:ascii="Georgia" w:hAnsi="Georgia" w:eastAsia="Georgia" w:cs="Georgia"/>
      <w:color w:val="2E74B5"/>
      <w:sz w:val="22"/>
      <w:szCs w:val="22"/>
    </w:rPr>
  </w:style>
  <w:style w:type="paragraph" w:styleId="7">
    <w:name w:val="heading 6"/>
    <w:next w:val="1"/>
    <w:qFormat/>
    <w:uiPriority w:val="0"/>
    <w:rPr>
      <w:rFonts w:ascii="Georgia" w:hAnsi="Georgia" w:eastAsia="Georgia" w:cs="Georgia"/>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Georgia" w:hAnsi="Georgia" w:eastAsia="Georgia" w:cs="Georgia"/>
      <w:sz w:val="20"/>
      <w:szCs w:val="20"/>
    </w:rPr>
  </w:style>
  <w:style w:type="paragraph" w:styleId="9">
    <w:name w:val="footnote text"/>
    <w:link w:val="17"/>
    <w:semiHidden/>
    <w:unhideWhenUsed/>
    <w:uiPriority w:val="99"/>
    <w:pPr>
      <w:spacing w:after="0" w:line="240" w:lineRule="auto"/>
    </w:pPr>
    <w:rPr>
      <w:rFonts w:ascii="Georgia" w:hAnsi="Georgia" w:eastAsia="Georgia" w:cs="Georgia"/>
      <w:sz w:val="20"/>
      <w:szCs w:val="20"/>
    </w:rPr>
  </w:style>
  <w:style w:type="paragraph" w:styleId="10">
    <w:name w:val="Title"/>
    <w:qFormat/>
    <w:uiPriority w:val="0"/>
    <w:rPr>
      <w:rFonts w:ascii="Georgia" w:hAnsi="Georgia" w:eastAsia="Georgia" w:cs="Georgia"/>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Georgia" w:hAnsi="Georgia" w:eastAsia="Georgia" w:cs="Georgia"/>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0</TotalTime>
  <ScaleCrop>false</ScaleCrop>
  <LinksUpToDate>false</LinksUpToDate>
  <Application>WPS Office_12.1.24031.24031_F1E327BC-269C-435d-A152-05C5408002CA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Zhenying Li</dc:creator>
  <cp:lastModifiedBy>zhenyingli</cp:lastModifiedBy>
  <dcterms:modified xsi:type="dcterms:W3CDTF">2026-08-31T08:52:23Z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DCD8D9CDCCC357F247D0946A98F51783_43</vt:lpwstr>
  </property>
</Properties>
</file>