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 w:val="0"/>
          <w:color w:val="8B6C42"/>
          <w:sz w:val="16"/>
        </w:rPr>
        <w:t>MERLIN INTELLIGENCE · MODE B</w:t>
      </w:r>
    </w:p>
    <w:p>
      <w:pPr>
        <w:jc w:val="center"/>
      </w:pPr>
      <w:r>
        <w:rPr>
          <w:rFonts w:ascii="Times New Roman" w:hAnsi="Times New Roman" w:eastAsia="宋体"/>
          <w:b/>
          <w:color w:val="0A0A0B"/>
          <w:sz w:val="44"/>
        </w:rPr>
        <w:t>绿茶集团延伸问题深度研究</w:t>
      </w:r>
    </w:p>
    <w:p>
      <w:pPr>
        <w:jc w:val="center"/>
      </w:pPr>
      <w:r>
        <w:rPr>
          <w:rFonts w:ascii="Times New Roman" w:hAnsi="Times New Roman" w:eastAsia="宋体"/>
          <w:b w:val="0"/>
          <w:color w:val="503C1E"/>
          <w:sz w:val="20"/>
        </w:rPr>
        <w:t>Green Tea Group (06831.HK) · Follow-up Research Report</w:t>
      </w:r>
    </w:p>
    <w:p>
      <w:pPr>
        <w:jc w:val="center"/>
      </w:pPr>
      <w:r>
        <w:rPr>
          <w:rFonts w:ascii="Times New Roman" w:hAnsi="Times New Roman" w:eastAsia="宋体"/>
          <w:b w:val="0"/>
          <w:color w:val="646464"/>
          <w:sz w:val="18"/>
        </w:rPr>
        <w:t>研究日期：2026年6月9日 ｜ 置信分布：高置信 1 / 中置信 5 / 低置信 2</w:t>
      </w:r>
    </w:p>
    <w:p>
      <w:pPr>
        <w:spacing w:before="80" w:after="80"/>
        <w:pBdr>
          <w:bottom w:val="single" w:sz="4" w:space="1" w:color="C9A84C"/>
        </w:pBdr>
      </w:pPr>
    </w:p>
    <w:p>
      <w:pPr>
        <w:jc w:val="center"/>
      </w:pPr>
      <w:r>
        <w:rPr>
          <w:rFonts w:ascii="Times New Roman" w:hAnsi="Times New Roman" w:eastAsia="宋体"/>
          <w:b/>
          <w:color w:val="F1EFEA"/>
          <w:sz w:val="17"/>
          <w:shd w:val="clear" w:color="auto" w:fill="0A0A0B"/>
        </w:rPr>
        <w:t xml:space="preserve"> 餐饮连锁 </w:t>
      </w:r>
      <w:r>
        <w:t xml:space="preserve">  </w:t>
      </w:r>
      <w:r>
        <w:rPr>
          <w:rFonts w:ascii="Times New Roman" w:hAnsi="Times New Roman" w:eastAsia="宋体"/>
          <w:b/>
          <w:color w:val="F1EFEA"/>
          <w:sz w:val="17"/>
          <w:shd w:val="clear" w:color="auto" w:fill="0A0A0B"/>
        </w:rPr>
        <w:t xml:space="preserve"> 品牌营销 </w:t>
      </w:r>
      <w:r>
        <w:t xml:space="preserve">  </w:t>
      </w:r>
      <w:r>
        <w:rPr>
          <w:rFonts w:ascii="Times New Roman" w:hAnsi="Times New Roman" w:eastAsia="宋体"/>
          <w:b/>
          <w:color w:val="F1EFEA"/>
          <w:sz w:val="17"/>
          <w:shd w:val="clear" w:color="auto" w:fill="0A0A0B"/>
        </w:rPr>
        <w:t xml:space="preserve"> 新品上市 </w:t>
      </w:r>
      <w:r>
        <w:t xml:space="preserve">  </w:t>
      </w:r>
      <w:r>
        <w:rPr>
          <w:rFonts w:ascii="Times New Roman" w:hAnsi="Times New Roman" w:eastAsia="宋体"/>
          <w:b/>
          <w:color w:val="F1EFEA"/>
          <w:sz w:val="17"/>
          <w:shd w:val="clear" w:color="auto" w:fill="0A0A0B"/>
        </w:rPr>
        <w:t xml:space="preserve"> 培训体系 </w:t>
      </w:r>
      <w:r>
        <w:t xml:space="preserve">  </w:t>
      </w:r>
      <w:r>
        <w:rPr>
          <w:rFonts w:ascii="Times New Roman" w:hAnsi="Times New Roman" w:eastAsia="宋体"/>
          <w:b/>
          <w:color w:val="F1EFEA"/>
          <w:sz w:val="17"/>
          <w:shd w:val="clear" w:color="auto" w:fill="0A0A0B"/>
        </w:rPr>
        <w:t xml:space="preserve"> 组织协同 </w:t>
      </w:r>
      <w:r>
        <w:t xml:space="preserve">  </w:t>
      </w:r>
      <w:r>
        <w:rPr>
          <w:rFonts w:ascii="Times New Roman" w:hAnsi="Times New Roman" w:eastAsia="宋体"/>
          <w:b/>
          <w:color w:val="F1EFEA"/>
          <w:sz w:val="17"/>
          <w:shd w:val="clear" w:color="auto" w:fill="0A0A0B"/>
        </w:rPr>
        <w:t xml:space="preserve"> 港股 06831.HK </w:t>
      </w:r>
      <w:r>
        <w:t xml:space="preserve">  </w:t>
      </w:r>
    </w:p>
    <w:p/>
    <w:p>
      <w:pPr>
        <w:spacing w:before="360" w:after="120"/>
      </w:pPr>
      <w:r>
        <w:rPr>
          <w:rFonts w:ascii="Times New Roman" w:hAnsi="Times New Roman" w:eastAsia="宋体"/>
          <w:b/>
          <w:color w:val="0A0A0B"/>
          <w:sz w:val="32"/>
        </w:rPr>
        <w:t>Q1 · 年度品牌日历审批层级与部门协同机制</w:t>
      </w:r>
    </w:p>
    <w:p>
      <w:pPr>
        <w:spacing w:after="60"/>
      </w:pPr>
      <w:r>
        <w:rPr>
          <w:rFonts w:ascii="Times New Roman" w:hAnsi="Times New Roman" w:eastAsia="宋体"/>
          <w:b/>
          <w:color w:val="8B6428"/>
          <w:sz w:val="18"/>
        </w:rPr>
        <w:t>[中置信 · MID CONFIDENCE]</w:t>
      </w:r>
    </w:p>
    <w:p>
      <w:pPr>
        <w:spacing w:after="120"/>
        <w:ind w:left="0"/>
      </w:pPr>
      <w:r>
        <w:rPr>
          <w:rFonts w:ascii="Times New Roman" w:hAnsi="Times New Roman" w:eastAsia="宋体"/>
          <w:b w:val="0"/>
          <w:sz w:val="21"/>
        </w:rPr>
        <w:t>绿茶集团的年度品牌日历审批流程，基于其已披露的三级组织架构（集团总部→区域→门店）和上市公司治理要求推断，具体会议名称与参会岗位需一手验证。</w:t>
      </w:r>
    </w:p>
    <w:p/>
    <w:p>
      <w:pPr>
        <w:spacing w:before="200" w:after="80"/>
      </w:pPr>
      <w:r>
        <w:rPr>
          <w:rFonts w:ascii="Times New Roman" w:hAnsi="Times New Roman" w:eastAsia="宋体"/>
          <w:b/>
          <w:color w:val="8B6C42"/>
          <w:sz w:val="22"/>
        </w:rPr>
        <w:t>审批层级结构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层级</w:t>
            </w:r>
          </w:p>
        </w:tc>
        <w:tc>
          <w:tcPr>
            <w:tcW w:type="dxa" w:w="2551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角色/岗位</w:t>
            </w:r>
          </w:p>
        </w:tc>
        <w:tc>
          <w:tcPr>
            <w:tcW w:type="dxa" w:w="2835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职责</w:t>
            </w:r>
          </w:p>
        </w:tc>
        <w:tc>
          <w:tcPr>
            <w:tcW w:type="dxa" w:w="2551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审批事项</w:t>
            </w:r>
          </w:p>
        </w:tc>
      </w:tr>
      <w:tr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L1 执行层</w:t>
            </w:r>
          </w:p>
        </w:tc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品牌运营专员 / 社媒编辑</w:t>
            </w:r>
          </w:p>
        </w:tc>
        <w:tc>
          <w:tcPr>
            <w:tcW w:type="dxa" w:w="2835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日历初稿编制、内容策划、供应商沟通</w:t>
            </w:r>
          </w:p>
        </w:tc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节日节点、促销方案草案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L2 职能层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品牌总监 / 营销总监 / 产品总监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多职能对齐、资源协调、预算确认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全年重要节点、跨部门资源分配</w:t>
            </w:r>
          </w:p>
        </w:tc>
      </w:tr>
      <w:tr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L3 管理层</w:t>
            </w:r>
          </w:p>
        </w:tc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CMO / VP品牌（于丽影副总裁）/ CEO（王勤松）</w:t>
            </w:r>
          </w:p>
        </w:tc>
        <w:tc>
          <w:tcPr>
            <w:tcW w:type="dxa" w:w="2835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战略一致性审核、重大活动最终拍板</w:t>
            </w:r>
          </w:p>
        </w:tc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品牌主题、全国性大促、与产品线联动的节点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L4 董事会层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董事会 / 审计委员会（上市后要求）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影响财务披露或品牌重大转向的决策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超过一定金额的营销预算、品牌重大重塑</w:t>
            </w:r>
          </w:p>
        </w:tc>
      </w:tr>
    </w:tbl>
    <w:p/>
    <w:p>
      <w:pPr>
        <w:spacing w:before="120" w:after="120"/>
        <w:ind w:left="340" w:right="340"/>
        <w:pBdr>
          <w:left w:val="single" w:sz="18" w:space="12" w:color="8B6C42"/>
        </w:pBdr>
        <w:shd w:val="clear" w:color="auto" w:fill="F8F4EC"/>
      </w:pPr>
      <w:r>
        <w:rPr>
          <w:rFonts w:ascii="Times New Roman" w:hAnsi="Times New Roman" w:eastAsia="宋体"/>
          <w:b w:val="0"/>
          <w:color w:val="503C1E"/>
          <w:sz w:val="20"/>
        </w:rPr>
        <w:t>⚠ 低置信提示：L4 董事会直接审批的触发条件（金额门槛、品牌转型定义）是推断，需向CFO或IR确认。港股上市公司（2025年5月上市）治理要求加重了对L3-L4连接机制的关注。</w:t>
      </w:r>
    </w:p>
    <w:p>
      <w:pPr>
        <w:spacing w:before="200" w:after="80"/>
      </w:pPr>
      <w:r>
        <w:rPr>
          <w:rFonts w:ascii="Times New Roman" w:hAnsi="Times New Roman" w:eastAsia="宋体"/>
          <w:b/>
          <w:color w:val="8B6C42"/>
          <w:sz w:val="22"/>
        </w:rPr>
        <w:t>跨部门协同机制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部门</w:t>
            </w:r>
          </w:p>
        </w:tc>
        <w:tc>
          <w:tcPr>
            <w:tcW w:type="dxa" w:w="2835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在品牌日历中的角色</w:t>
            </w:r>
          </w:p>
        </w:tc>
        <w:tc>
          <w:tcPr>
            <w:tcW w:type="dxa" w:w="2835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与品牌部的接口</w:t>
            </w:r>
          </w:p>
        </w:tc>
      </w:tr>
      <w:tr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品牌/营销部</w:t>
            </w:r>
          </w:p>
        </w:tc>
        <w:tc>
          <w:tcPr>
            <w:tcW w:type="dxa" w:w="2835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主导方：编制日历、统筹执行</w:t>
            </w:r>
          </w:p>
        </w:tc>
        <w:tc>
          <w:tcPr>
            <w:tcW w:type="dxa" w:w="2835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内部发起、跨部门对齐枢纽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产品研发部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确认新品上市时间窗口，确保上线节点与供应链匹配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提供产品roadmap输入，确认15-20天执行窗口</w:t>
            </w:r>
          </w:p>
        </w:tc>
      </w:tr>
      <w:tr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运营/门店部</w:t>
            </w:r>
          </w:p>
        </w:tc>
        <w:tc>
          <w:tcPr>
            <w:tcW w:type="dxa" w:w="2835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确认门店执行能力，给出旺季/淡季门店侧反馈</w:t>
            </w:r>
          </w:p>
        </w:tc>
        <w:tc>
          <w:tcPr>
            <w:tcW w:type="dxa" w:w="2835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接收培训材料、SOP，参与节假日排班规划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供应链/采购部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与促销食材、活动物料需求对齐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提前60-90天告知大促预估备货量</w:t>
            </w:r>
          </w:p>
        </w:tc>
      </w:tr>
      <w:tr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数字化/私域部</w:t>
            </w:r>
          </w:p>
        </w:tc>
        <w:tc>
          <w:tcPr>
            <w:tcW w:type="dxa" w:w="2835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确认私域运营节奏与品牌日历同步</w:t>
            </w:r>
          </w:p>
        </w:tc>
        <w:tc>
          <w:tcPr>
            <w:tcW w:type="dxa" w:w="2835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输出私域推广档期计划，匹配公域投放时间</w:t>
            </w:r>
          </w:p>
        </w:tc>
      </w:tr>
    </w:tbl>
    <w:p/>
    <w:p>
      <w:pPr>
        <w:spacing w:before="80" w:after="80"/>
        <w:pBdr>
          <w:bottom w:val="single" w:sz="4" w:space="1" w:color="C9A84C"/>
        </w:pBdr>
      </w:pPr>
    </w:p>
    <w:p>
      <w:pPr>
        <w:spacing w:before="360" w:after="120"/>
      </w:pPr>
      <w:r>
        <w:rPr>
          <w:rFonts w:ascii="Times New Roman" w:hAnsi="Times New Roman" w:eastAsia="宋体"/>
          <w:b/>
          <w:color w:val="0A0A0B"/>
          <w:sz w:val="32"/>
        </w:rPr>
        <w:t>Q2 · 新品上市周期压缩至15-20天的并行执行机制</w:t>
      </w:r>
    </w:p>
    <w:p>
      <w:pPr>
        <w:spacing w:after="60"/>
      </w:pPr>
      <w:r>
        <w:rPr>
          <w:rFonts w:ascii="Times New Roman" w:hAnsi="Times New Roman" w:eastAsia="宋体"/>
          <w:b/>
          <w:color w:val="8B6428"/>
          <w:sz w:val="18"/>
        </w:rPr>
        <w:t>[中置信 · MID CONFIDENCE]</w:t>
      </w:r>
    </w:p>
    <w:p>
      <w:pPr>
        <w:spacing w:after="120"/>
        <w:ind w:left="0"/>
      </w:pPr>
      <w:r>
        <w:rPr>
          <w:rFonts w:ascii="Times New Roman" w:hAnsi="Times New Roman" w:eastAsia="宋体"/>
          <w:b w:val="0"/>
          <w:sz w:val="21"/>
        </w:rPr>
        <w:t>2024年绿茶集团新品203道（约4道/周），印证了高频并行上新能力的存在。以下执行框架基于行业标准和公开披露的数字化能力推断，15-20天数字来源需向产品/营销团队确认。</w:t>
      </w:r>
    </w:p>
    <w:p/>
    <w:p>
      <w:pPr>
        <w:spacing w:before="120" w:after="120"/>
        <w:ind w:left="340" w:right="340"/>
        <w:pBdr>
          <w:left w:val="single" w:sz="18" w:space="12" w:color="8B6C42"/>
        </w:pBdr>
        <w:shd w:val="clear" w:color="auto" w:fill="F8F4EC"/>
      </w:pPr>
      <w:r>
        <w:rPr>
          <w:rFonts w:ascii="Times New Roman" w:hAnsi="Times New Roman" w:eastAsia="宋体"/>
          <w:b w:val="0"/>
          <w:color w:val="503C1E"/>
          <w:sz w:val="20"/>
        </w:rPr>
        <w:t>【概念澄清】15-20天指的是「菜品内容制作与门店上线执行」的最后一公里窗口，不含前端研发、测试、供应链打通（那部分通常6-12周）。这是执行交付阶段的压缩，不是全链路R&amp;D的压缩。</w:t>
      </w:r>
    </w:p>
    <w:p>
      <w:pPr>
        <w:spacing w:before="200" w:after="80"/>
      </w:pPr>
      <w:r>
        <w:rPr>
          <w:rFonts w:ascii="Times New Roman" w:hAnsi="Times New Roman" w:eastAsia="宋体"/>
          <w:b/>
          <w:color w:val="8B6C42"/>
          <w:sz w:val="22"/>
        </w:rPr>
        <w:t>Day-by-Day 并行执行流程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阶段</w:t>
            </w:r>
          </w:p>
        </w:tc>
        <w:tc>
          <w:tcPr>
            <w:tcW w:type="dxa" w:w="1701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时间节点</w:t>
            </w:r>
          </w:p>
        </w:tc>
        <w:tc>
          <w:tcPr>
            <w:tcW w:type="dxa" w:w="3402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执行动作</w:t>
            </w:r>
          </w:p>
        </w:tc>
        <w:tc>
          <w:tcPr>
            <w:tcW w:type="dxa" w:w="1984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责任方</w:t>
            </w:r>
          </w:p>
        </w:tc>
      </w:tr>
      <w:tr>
        <w:tc>
          <w:tcPr>
            <w:tcW w:type="dxa" w:w="226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产品定型 + 拍摄启动</w:t>
            </w:r>
          </w:p>
        </w:tc>
        <w:tc>
          <w:tcPr>
            <w:tcW w:type="dxa" w:w="170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Day 0-2</w:t>
            </w:r>
          </w:p>
        </w:tc>
        <w:tc>
          <w:tcPr>
            <w:tcW w:type="dxa" w:w="3402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菜品定型确认（主厨/研发）→ 通知拍摄团队备档期 → 确认摄影师/摄影模式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产品研发部 + 品牌部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产品拍摄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Day 1-4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模式A（专职外拍）/ B（区域美食摄影师）/ C（门店实拍SOP），同步产出主图+详情图+短视频素材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品牌部 + 外部摄影/视频团队</w:t>
            </w:r>
          </w:p>
        </w:tc>
      </w:tr>
      <w:tr>
        <w:tc>
          <w:tcPr>
            <w:tcW w:type="dxa" w:w="226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元媒体素材制作</w:t>
            </w:r>
          </w:p>
        </w:tc>
        <w:tc>
          <w:tcPr>
            <w:tcW w:type="dxa" w:w="170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Day 1-4（与拍摄并行）</w:t>
            </w:r>
          </w:p>
        </w:tc>
        <w:tc>
          <w:tcPr>
            <w:tcW w:type="dxa" w:w="3402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设计稿、海报、小红书/抖音/微信推文排版，以品牌VI模板批量生产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社媒编辑 + 视觉设计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培训材料制作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Day 2-6（与素材并行）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制作门店培训PPT/视频、SOP操作手册，上传绿茶大学平台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培训部（Training Dept）</w:t>
            </w:r>
          </w:p>
        </w:tc>
      </w:tr>
      <w:tr>
        <w:tc>
          <w:tcPr>
            <w:tcW w:type="dxa" w:w="226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门店培训执行</w:t>
            </w:r>
          </w:p>
        </w:tc>
        <w:tc>
          <w:tcPr>
            <w:tcW w:type="dxa" w:w="170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Day 5-10</w:t>
            </w:r>
          </w:p>
        </w:tc>
        <w:tc>
          <w:tcPr>
            <w:tcW w:type="dxa" w:w="3402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直播培训（绿茶大学）/ 区域经理线下示范，确认门店master覆盖100%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区域经理 + 绿茶大学平台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私域预热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Day 8-14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微信群'周五福利日'预告，WOW会员定向push，KOL样品体验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私域运营团队（数字化部）</w:t>
            </w:r>
          </w:p>
        </w:tc>
      </w:tr>
      <w:tr>
        <w:tc>
          <w:tcPr>
            <w:tcW w:type="dxa" w:w="226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全渠道正式上线</w:t>
            </w:r>
          </w:p>
        </w:tc>
        <w:tc>
          <w:tcPr>
            <w:tcW w:type="dxa" w:w="170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Day 15-20</w:t>
            </w:r>
          </w:p>
        </w:tc>
        <w:tc>
          <w:tcPr>
            <w:tcW w:type="dxa" w:w="3402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堂食菜单更新 + 外卖平台上线 + 公众号/小红书/抖音推文发布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运营 + 数字化 + 品牌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宋体"/>
          <w:b/>
          <w:color w:val="8B6C42"/>
          <w:sz w:val="22"/>
        </w:rPr>
        <w:t>产品拍摄三种模式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模式</w:t>
            </w:r>
          </w:p>
        </w:tc>
        <w:tc>
          <w:tcPr>
            <w:tcW w:type="dxa" w:w="3118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适用情景</w:t>
            </w:r>
          </w:p>
        </w:tc>
        <w:tc>
          <w:tcPr>
            <w:tcW w:type="dxa" w:w="1417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时效</w:t>
            </w:r>
          </w:p>
        </w:tc>
        <w:tc>
          <w:tcPr>
            <w:tcW w:type="dxa" w:w="1417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质量</w:t>
            </w:r>
          </w:p>
        </w:tc>
      </w:tr>
      <w:tr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A · 专职外部摄影师</w:t>
            </w:r>
          </w:p>
        </w:tc>
        <w:tc>
          <w:tcPr>
            <w:tcW w:type="dxa" w:w="311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大促重点菜、品牌形象菜</w:t>
            </w:r>
          </w:p>
        </w:tc>
        <w:tc>
          <w:tcPr>
            <w:tcW w:type="dxa" w:w="1417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3-5天</w:t>
            </w:r>
          </w:p>
        </w:tc>
        <w:tc>
          <w:tcPr>
            <w:tcW w:type="dxa" w:w="1417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高（商业大片级）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B · 区域美食摄影合作伙伴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中等优先级新菜，区域差异化菜品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1-3天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中（达人/KOL素材级）</w:t>
            </w:r>
          </w:p>
        </w:tc>
      </w:tr>
      <w:tr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C · 门店实拍SOP</w:t>
            </w:r>
          </w:p>
        </w:tc>
        <w:tc>
          <w:tcPr>
            <w:tcW w:type="dxa" w:w="311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常规迭代菜、限时特供菜，追求极致时效</w:t>
            </w:r>
          </w:p>
        </w:tc>
        <w:tc>
          <w:tcPr>
            <w:tcW w:type="dxa" w:w="1417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当日完成</w:t>
            </w:r>
          </w:p>
        </w:tc>
        <w:tc>
          <w:tcPr>
            <w:tcW w:type="dxa" w:w="1417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基础（符合平台发布标准）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宋体"/>
          <w:b/>
          <w:color w:val="8B6C42"/>
          <w:sz w:val="22"/>
        </w:rPr>
        <w:t>社交渠道压缩机制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渠道</w:t>
            </w:r>
          </w:p>
        </w:tc>
        <w:tc>
          <w:tcPr>
            <w:tcW w:type="dxa" w:w="2268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内容形式</w:t>
            </w:r>
          </w:p>
        </w:tc>
        <w:tc>
          <w:tcPr>
            <w:tcW w:type="dxa" w:w="1984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发布节点</w:t>
            </w:r>
          </w:p>
        </w:tc>
        <w:tc>
          <w:tcPr>
            <w:tcW w:type="dxa" w:w="2551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并行条件</w:t>
            </w:r>
          </w:p>
        </w:tc>
      </w:tr>
      <w:tr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抖音/视频号</w:t>
            </w:r>
          </w:p>
        </w:tc>
        <w:tc>
          <w:tcPr>
            <w:tcW w:type="dxa" w:w="226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15-60秒短视频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Day 12-15 上线前</w:t>
            </w:r>
          </w:p>
        </w:tc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素材在Day4前完成剪辑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小红书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图文种草笔记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Day 10-14 预热期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摄影素材Day4前到位</w:t>
            </w:r>
          </w:p>
        </w:tc>
      </w:tr>
      <w:tr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公众号</w:t>
            </w:r>
          </w:p>
        </w:tc>
        <w:tc>
          <w:tcPr>
            <w:tcW w:type="dxa" w:w="226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新品推文（图文）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Day 15-20 正式上线日</w:t>
            </w:r>
          </w:p>
        </w:tc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以上素材复用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私域微信群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福利日活动通知 + 券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Day 8-12 预热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优惠信息在Day6前确认</w:t>
            </w:r>
          </w:p>
        </w:tc>
      </w:tr>
      <w:tr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外卖平台（美团/饿了么）</w:t>
            </w:r>
          </w:p>
        </w:tc>
        <w:tc>
          <w:tcPr>
            <w:tcW w:type="dxa" w:w="226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菜品图文上架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Day 15-20 与堂食同步</w:t>
            </w:r>
          </w:p>
        </w:tc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主图在Day5前完成</w:t>
            </w:r>
          </w:p>
        </w:tc>
      </w:tr>
    </w:tbl>
    <w:p/>
    <w:p>
      <w:pPr>
        <w:spacing w:before="80" w:after="80"/>
        <w:pBdr>
          <w:bottom w:val="single" w:sz="4" w:space="1" w:color="C9A84C"/>
        </w:pBdr>
      </w:pPr>
    </w:p>
    <w:p>
      <w:pPr>
        <w:spacing w:before="360" w:after="120"/>
      </w:pPr>
      <w:r>
        <w:rPr>
          <w:rFonts w:ascii="Times New Roman" w:hAnsi="Times New Roman" w:eastAsia="宋体"/>
          <w:b/>
          <w:color w:val="0A0A0B"/>
          <w:sz w:val="32"/>
        </w:rPr>
        <w:t>Q3 · 营销活动上线前培训的执行体系与部门协作</w:t>
      </w:r>
    </w:p>
    <w:p>
      <w:pPr>
        <w:spacing w:after="60"/>
      </w:pPr>
      <w:r>
        <w:rPr>
          <w:rFonts w:ascii="Times New Roman" w:hAnsi="Times New Roman" w:eastAsia="宋体"/>
          <w:b/>
          <w:color w:val="2A5C3F"/>
          <w:sz w:val="18"/>
        </w:rPr>
        <w:t>[高置信 · HIGH CONFIDENCE]</w:t>
      </w:r>
    </w:p>
    <w:p>
      <w:pPr>
        <w:spacing w:after="120"/>
        <w:ind w:left="0"/>
      </w:pPr>
      <w:r>
        <w:rPr>
          <w:rFonts w:ascii="Times New Roman" w:hAnsi="Times New Roman" w:eastAsia="宋体"/>
          <w:b w:val="0"/>
          <w:sz w:val="21"/>
        </w:rPr>
        <w:t>绿茶集团'绿茶大学'培训平台经公开媒体报道证实，直播培训形式有资料佐证。三级培训结构符合其三级组织架构（集团→区域→门店）的内在逻辑，置信度相对最高。</w:t>
      </w:r>
    </w:p>
    <w:p/>
    <w:p>
      <w:pPr>
        <w:spacing w:before="200" w:after="80"/>
      </w:pPr>
      <w:r>
        <w:rPr>
          <w:rFonts w:ascii="Times New Roman" w:hAnsi="Times New Roman" w:eastAsia="宋体"/>
          <w:b/>
          <w:color w:val="8B6C42"/>
          <w:sz w:val="22"/>
        </w:rPr>
        <w:t>三级培训传导结构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层级</w:t>
            </w:r>
          </w:p>
        </w:tc>
        <w:tc>
          <w:tcPr>
            <w:tcW w:type="dxa" w:w="2268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责任方</w:t>
            </w:r>
          </w:p>
        </w:tc>
        <w:tc>
          <w:tcPr>
            <w:tcW w:type="dxa" w:w="2835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对象</w:t>
            </w:r>
          </w:p>
        </w:tc>
        <w:tc>
          <w:tcPr>
            <w:tcW w:type="dxa" w:w="2268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形式</w:t>
            </w:r>
          </w:p>
        </w:tc>
      </w:tr>
      <w:tr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L1 · 集团级内容制作</w:t>
            </w:r>
          </w:p>
        </w:tc>
        <w:tc>
          <w:tcPr>
            <w:tcW w:type="dxa" w:w="226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营销/品牌部 + 培训部（Training &amp; HR）</w:t>
            </w:r>
          </w:p>
        </w:tc>
        <w:tc>
          <w:tcPr>
            <w:tcW w:type="dxa" w:w="2835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全体区域经理 + 门店经理</w:t>
            </w:r>
          </w:p>
        </w:tc>
        <w:tc>
          <w:tcPr>
            <w:tcW w:type="dxa" w:w="226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绿茶大学平台直播 / 录播视频 / 文档SOP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L2 · 区域级传导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大区经理 / 区域督导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辖区内所有门店经理 + 关键岗位（前厅/后厨负责人）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区域集中培训 / 线上直播跟进 / 抽检考核</w:t>
            </w:r>
          </w:p>
        </w:tc>
      </w:tr>
      <w:tr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L3 · 门店级落地</w:t>
            </w:r>
          </w:p>
        </w:tc>
        <w:tc>
          <w:tcPr>
            <w:tcW w:type="dxa" w:w="226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门店店长（经理）</w:t>
            </w:r>
          </w:p>
        </w:tc>
        <w:tc>
          <w:tcPr>
            <w:tcW w:type="dxa" w:w="2835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全体门店员工（服务员、收银、厨房）</w:t>
            </w:r>
          </w:p>
        </w:tc>
        <w:tc>
          <w:tcPr>
            <w:tcW w:type="dxa" w:w="226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门店晨会/夕会、实操演练、以老带新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宋体"/>
          <w:b/>
          <w:color w:val="8B6C42"/>
          <w:sz w:val="22"/>
        </w:rPr>
        <w:t>五种培训形式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培训形式</w:t>
            </w:r>
          </w:p>
        </w:tc>
        <w:tc>
          <w:tcPr>
            <w:tcW w:type="dxa" w:w="2551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适用场景</w:t>
            </w:r>
          </w:p>
        </w:tc>
        <w:tc>
          <w:tcPr>
            <w:tcW w:type="dxa" w:w="1701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时效性</w:t>
            </w:r>
          </w:p>
        </w:tc>
        <w:tc>
          <w:tcPr>
            <w:tcW w:type="dxa" w:w="1984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覆盖半径</w:t>
            </w:r>
          </w:p>
        </w:tc>
      </w:tr>
      <w:tr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绿茶大学直播培训</w:t>
            </w:r>
          </w:p>
        </w:tc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全国性大促前、新品系统上线前</w:t>
            </w:r>
          </w:p>
        </w:tc>
        <w:tc>
          <w:tcPr>
            <w:tcW w:type="dxa" w:w="170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T-7天前完成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全国465+门店同步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录播视频+考核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常规迭代、非紧急但须合规的操作变更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可随时回看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自学型，须后台跟踪完成率</w:t>
            </w:r>
          </w:p>
        </w:tc>
      </w:tr>
      <w:tr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区域集中培训（线下）</w:t>
            </w:r>
          </w:p>
        </w:tc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大促、重大品牌活动、高复杂度新菜</w:t>
            </w:r>
          </w:p>
        </w:tc>
        <w:tc>
          <w:tcPr>
            <w:tcW w:type="dxa" w:w="170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T-5天前完成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覆盖区域内门店，确保经理级以上100%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SOP文档/图解手册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菜品出品标准、摆盘规范、话术脚本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随物料包同步下发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门店自学+抽查</w:t>
            </w:r>
          </w:p>
        </w:tc>
      </w:tr>
      <w:tr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门店晨会/夕会传导</w:t>
            </w:r>
          </w:p>
        </w:tc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最后一公里，确保一线员工知晓</w:t>
            </w:r>
          </w:p>
        </w:tc>
        <w:tc>
          <w:tcPr>
            <w:tcW w:type="dxa" w:w="170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T-1天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100%覆盖，责任到店长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宋体"/>
          <w:b/>
          <w:color w:val="8B6C42"/>
          <w:sz w:val="22"/>
        </w:rPr>
        <w:t>培训视频制作责任方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视频内容类型</w:t>
            </w:r>
          </w:p>
        </w:tc>
        <w:tc>
          <w:tcPr>
            <w:tcW w:type="dxa" w:w="2268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主要制作责任方</w:t>
            </w:r>
          </w:p>
        </w:tc>
        <w:tc>
          <w:tcPr>
            <w:tcW w:type="dxa" w:w="1984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参与部门</w:t>
            </w:r>
          </w:p>
        </w:tc>
        <w:tc>
          <w:tcPr>
            <w:tcW w:type="dxa" w:w="1984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产出形式</w:t>
            </w:r>
          </w:p>
        </w:tc>
      </w:tr>
      <w:tr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品牌主题讲解 / 活动背景介绍</w:t>
            </w:r>
          </w:p>
        </w:tc>
        <w:tc>
          <w:tcPr>
            <w:tcW w:type="dxa" w:w="226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品牌部主导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社媒/设计配合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10-15min讲解视频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新品菜品操作标准 / 出品规范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培训部 + 产品研发部联合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厨房技术团队演示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3-8min操作演示视频</w:t>
            </w:r>
          </w:p>
        </w:tc>
      </w:tr>
      <w:tr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门店执行SOP / 服务流程</w:t>
            </w:r>
          </w:p>
        </w:tc>
        <w:tc>
          <w:tcPr>
            <w:tcW w:type="dxa" w:w="226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运营部 + 培训部联合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督导示范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5-10min场景演示视频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私域话术 / 会员转化脚本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数字化/私域部主导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品牌部审核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文字脚本 + 1-2min示范视频</w:t>
            </w:r>
          </w:p>
        </w:tc>
      </w:tr>
      <w:tr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营销工具使用（POS/小程序）</w:t>
            </w:r>
          </w:p>
        </w:tc>
        <w:tc>
          <w:tcPr>
            <w:tcW w:type="dxa" w:w="226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IT/数字化部主导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运营部配合</w:t>
            </w:r>
          </w:p>
        </w:tc>
        <w:tc>
          <w:tcPr>
            <w:tcW w:type="dxa" w:w="1984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屏幕录制教程</w:t>
            </w:r>
          </w:p>
        </w:tc>
      </w:tr>
    </w:tbl>
    <w:p/>
    <w:p>
      <w:pPr>
        <w:spacing w:before="120" w:after="120"/>
        <w:ind w:left="340" w:right="340"/>
        <w:pBdr>
          <w:left w:val="single" w:sz="18" w:space="12" w:color="8B6C42"/>
        </w:pBdr>
        <w:shd w:val="clear" w:color="auto" w:fill="F8F4EC"/>
      </w:pPr>
      <w:r>
        <w:rPr>
          <w:rFonts w:ascii="Times New Roman" w:hAnsi="Times New Roman" w:eastAsia="宋体"/>
          <w:b w:val="0"/>
          <w:color w:val="503C1E"/>
          <w:sz w:val="20"/>
        </w:rPr>
        <w:t>💡 绿茶大学平台作为数字化培训中枢，承接L1→L2传导的主要媒介，直播互动确保区域经理实时对齐；录播为L2→L3传导留存可回溯资产，是质量控制的关键机制。</w:t>
      </w:r>
    </w:p>
    <w:p>
      <w:pPr>
        <w:spacing w:before="80" w:after="80"/>
        <w:pBdr>
          <w:bottom w:val="single" w:sz="4" w:space="1" w:color="C9A84C"/>
        </w:pBdr>
      </w:pPr>
    </w:p>
    <w:p>
      <w:pPr>
        <w:spacing w:before="360" w:after="120"/>
      </w:pPr>
      <w:r>
        <w:rPr>
          <w:rFonts w:ascii="Times New Roman" w:hAnsi="Times New Roman" w:eastAsia="宋体"/>
          <w:b/>
          <w:color w:val="0A0A0B"/>
          <w:sz w:val="32"/>
        </w:rPr>
        <w:t>低置信风险信号 · 评审裁定</w:t>
      </w:r>
    </w:p>
    <w:p>
      <w:pPr>
        <w:spacing w:after="120"/>
        <w:ind w:left="0"/>
      </w:pPr>
      <w:r>
        <w:rPr>
          <w:rFonts w:ascii="Times New Roman" w:hAnsi="Times New Roman" w:eastAsia="宋体"/>
          <w:b w:val="0"/>
          <w:sz w:val="21"/>
        </w:rPr>
        <w:t>Critic 智能体识别的待验证项，需访谈中直接确认。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信号</w:t>
            </w:r>
          </w:p>
        </w:tc>
        <w:tc>
          <w:tcPr>
            <w:tcW w:type="dxa" w:w="3118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低置信原因</w:t>
            </w:r>
          </w:p>
        </w:tc>
        <w:tc>
          <w:tcPr>
            <w:tcW w:type="dxa" w:w="3118"/>
            <w:vAlign w:val="center"/>
            <w:shd w:val="clear" w:color="auto" w:fill="0A0A0B"/>
          </w:tcPr>
          <w:p>
            <w:r>
              <w:rPr>
                <w:rFonts w:ascii="Times New Roman" w:hAnsi="Times New Roman" w:eastAsia="宋体"/>
                <w:b/>
                <w:color w:val="F1EFEA"/>
                <w:sz w:val="20"/>
              </w:rPr>
              <w:t>建议验证问题</w:t>
            </w:r>
          </w:p>
        </w:tc>
      </w:tr>
      <w:tr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L4董事会审批触发条件</w:t>
            </w:r>
          </w:p>
        </w:tc>
        <w:tc>
          <w:tcPr>
            <w:tcW w:type="dxa" w:w="311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金额门槛和品牌转向定义未见公开披露，上市时间短（2025年5月），治理机制仍在建立中</w:t>
            </w:r>
          </w:p>
        </w:tc>
        <w:tc>
          <w:tcPr>
            <w:tcW w:type="dxa" w:w="311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请问品牌营销预算中，哪一级别的审批需要上董事会？是否有金额门槛或内容类型门槛？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15-20天数字来源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在财报、招股书、媒体报道中未找到明确的15-20天官方表述，是行业基准推断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请问新品从内容制作到全渠道上线，内部有没有目标的执行时间窗口？大概是多少天？</w:t>
            </w:r>
          </w:p>
        </w:tc>
      </w:tr>
      <w:tr>
        <w:tc>
          <w:tcPr>
            <w:tcW w:type="dxa" w:w="2551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审批会议具体名称</w:t>
            </w:r>
          </w:p>
        </w:tc>
        <w:tc>
          <w:tcPr>
            <w:tcW w:type="dxa" w:w="311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'品牌日历审定会'是推断命名，实际内部会议类型和固定频次未知</w:t>
            </w:r>
          </w:p>
        </w:tc>
        <w:tc>
          <w:tcPr>
            <w:tcW w:type="dxa" w:w="3118"/>
            <w:vAlign w:val="center"/>
            <w:shd w:val="clear" w:color="auto" w:fill="F8F4E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品牌年度日历是否有固定的审批会议？会议叫什么？多久开一次？</w:t>
            </w:r>
          </w:p>
        </w:tc>
      </w:tr>
    </w:tbl>
    <w:p/>
    <w:p>
      <w:pPr>
        <w:spacing w:before="80" w:after="80"/>
        <w:pBdr>
          <w:bottom w:val="single" w:sz="4" w:space="1" w:color="C9A84C"/>
        </w:pBdr>
      </w:pPr>
    </w:p>
    <w:p>
      <w:pPr>
        <w:spacing w:before="360" w:after="120"/>
      </w:pPr>
      <w:r>
        <w:rPr>
          <w:rFonts w:ascii="Times New Roman" w:hAnsi="Times New Roman" w:eastAsia="宋体"/>
          <w:b/>
          <w:color w:val="0A0A0B"/>
          <w:sz w:val="32"/>
        </w:rPr>
        <w:t>评审裁定</w:t>
      </w:r>
    </w:p>
    <w:p>
      <w:pPr>
        <w:spacing w:before="120" w:after="120"/>
        <w:ind w:left="283"/>
        <w:shd w:val="clear" w:color="auto" w:fill="0A0A0B"/>
      </w:pPr>
      <w:r>
        <w:rPr>
          <w:rFonts w:ascii="Times New Roman" w:hAnsi="Times New Roman" w:eastAsia="宋体"/>
          <w:b w:val="0"/>
          <w:color w:val="F1EFEA"/>
          <w:sz w:val="21"/>
        </w:rPr>
        <w:t>绿茶集团已建立覆盖"品牌策划→产品上新→门店培训"的完整数字化执行闭环。203道新品/年的节奏印证了并行执行基础设施的存在；绿茶大学平台是培训体系的核心杠杆。三条延伸问题的框架性答案置信度中等，具体审批会议名称、15-20天官方窗口定义、L4触发门槛三项需一手验证。访谈建议优先询问王勤松/于丽影对产品营销协同机制的直接表述。</w:t>
      </w:r>
    </w:p>
    <w:p/>
    <w:p>
      <w:pPr>
        <w:spacing w:before="80" w:after="80"/>
        <w:pBdr>
          <w:bottom w:val="single" w:sz="4" w:space="1" w:color="C9A84C"/>
        </w:pBdr>
      </w:pPr>
    </w:p>
    <w:p>
      <w:pPr>
        <w:jc w:val="center"/>
      </w:pPr>
      <w:r>
        <w:rPr>
          <w:rFonts w:ascii="Times New Roman" w:hAnsi="Times New Roman" w:eastAsia="宋体"/>
          <w:b w:val="0"/>
          <w:color w:val="969696"/>
          <w:sz w:val="16"/>
        </w:rPr>
        <w:t>本报告由 Merlin 咨询情报系统生成 · 仅供内部参考 · 请勿对外传播</w:t>
      </w:r>
    </w:p>
    <w:p>
      <w:pPr>
        <w:jc w:val="center"/>
      </w:pPr>
      <w:r>
        <w:rPr>
          <w:rFonts w:ascii="Times New Roman" w:hAnsi="Times New Roman" w:eastAsia="宋体"/>
          <w:b w:val="0"/>
          <w:color w:val="8B6C42"/>
          <w:sz w:val="16"/>
        </w:rPr>
        <w:t>反馈：https://spontaneous-youtiao-b9cde9.netlify.app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