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254F59" w14:textId="786BE697" w:rsidR="00573A04" w:rsidRPr="002C2F74" w:rsidRDefault="0093702C" w:rsidP="00A163C1">
      <w:pPr>
        <w:snapToGrid w:val="0"/>
        <w:spacing w:line="276" w:lineRule="auto"/>
        <w:jc w:val="center"/>
        <w:rPr>
          <w:rFonts w:cs="Times New Roman"/>
          <w:b/>
          <w:bCs/>
        </w:rPr>
      </w:pPr>
      <w:r w:rsidRPr="002C2F74">
        <w:rPr>
          <w:rFonts w:cs="Times New Roman"/>
          <w:b/>
          <w:bCs/>
        </w:rPr>
        <w:t>Construction of A Dataset for All Expressed Transcripts for</w:t>
      </w:r>
      <w:r w:rsidR="001802DE" w:rsidRPr="002C2F74">
        <w:rPr>
          <w:rFonts w:cs="Times New Roman"/>
          <w:b/>
          <w:bCs/>
        </w:rPr>
        <w:t xml:space="preserve"> Alzheimer's </w:t>
      </w:r>
      <w:r w:rsidRPr="002C2F74">
        <w:rPr>
          <w:rFonts w:cs="Times New Roman"/>
          <w:b/>
          <w:bCs/>
        </w:rPr>
        <w:t>Disease Research</w:t>
      </w:r>
    </w:p>
    <w:p w14:paraId="0AB7A386" w14:textId="77777777" w:rsidR="00FA6FD9" w:rsidRPr="002C2F74" w:rsidRDefault="00FA6FD9" w:rsidP="00A163C1">
      <w:pPr>
        <w:snapToGrid w:val="0"/>
        <w:spacing w:line="276" w:lineRule="auto"/>
        <w:jc w:val="center"/>
        <w:rPr>
          <w:rFonts w:cs="Times New Roman"/>
          <w:b/>
          <w:bCs/>
        </w:rPr>
      </w:pPr>
    </w:p>
    <w:p w14:paraId="63F88116" w14:textId="346AE023" w:rsidR="00A24571" w:rsidRPr="002C2F74" w:rsidRDefault="00A24571" w:rsidP="00A163C1">
      <w:pPr>
        <w:snapToGrid w:val="0"/>
        <w:spacing w:line="276" w:lineRule="auto"/>
        <w:rPr>
          <w:rFonts w:eastAsiaTheme="minorEastAsia" w:cs="Times New Roman"/>
        </w:rPr>
      </w:pPr>
      <w:bookmarkStart w:id="0" w:name="OLE_LINK45"/>
      <w:r w:rsidRPr="002C2F74">
        <w:rPr>
          <w:rFonts w:cs="Times New Roman"/>
        </w:rPr>
        <w:t>Zhenyu Huang</w:t>
      </w:r>
      <w:r w:rsidRPr="002C2F74">
        <w:rPr>
          <w:rFonts w:cs="Times New Roman"/>
          <w:vertAlign w:val="superscript"/>
        </w:rPr>
        <w:t>1,2</w:t>
      </w:r>
      <w:r w:rsidRPr="002C2F74">
        <w:rPr>
          <w:rFonts w:cs="Times New Roman"/>
        </w:rPr>
        <w:t xml:space="preserve">, </w:t>
      </w:r>
      <w:proofErr w:type="spellStart"/>
      <w:r w:rsidRPr="002C2F74">
        <w:rPr>
          <w:rFonts w:eastAsiaTheme="minorEastAsia" w:cs="Times New Roman"/>
        </w:rPr>
        <w:t>Bocheng</w:t>
      </w:r>
      <w:proofErr w:type="spellEnd"/>
      <w:r w:rsidRPr="002C2F74">
        <w:rPr>
          <w:rFonts w:eastAsiaTheme="minorEastAsia" w:cs="Times New Roman"/>
        </w:rPr>
        <w:t xml:space="preserve"> Shi</w:t>
      </w:r>
      <w:r w:rsidRPr="002C2F74">
        <w:rPr>
          <w:rFonts w:cs="Times New Roman"/>
          <w:vertAlign w:val="superscript"/>
        </w:rPr>
        <w:t>2,</w:t>
      </w:r>
      <w:r w:rsidR="005456D9" w:rsidRPr="002C2F74">
        <w:rPr>
          <w:rFonts w:eastAsiaTheme="minorEastAsia" w:cs="Times New Roman"/>
          <w:vertAlign w:val="superscript"/>
        </w:rPr>
        <w:t>3</w:t>
      </w:r>
      <w:r w:rsidRPr="002C2F74">
        <w:rPr>
          <w:rFonts w:eastAsiaTheme="minorEastAsia" w:cs="Times New Roman"/>
        </w:rPr>
        <w:t xml:space="preserve">, </w:t>
      </w:r>
      <w:proofErr w:type="spellStart"/>
      <w:r w:rsidR="00831E1D" w:rsidRPr="002C2F74">
        <w:rPr>
          <w:rFonts w:cs="Times New Roman"/>
        </w:rPr>
        <w:t>Xuechen</w:t>
      </w:r>
      <w:proofErr w:type="spellEnd"/>
      <w:r w:rsidR="00831E1D" w:rsidRPr="002C2F74">
        <w:rPr>
          <w:rFonts w:cs="Times New Roman"/>
        </w:rPr>
        <w:t xml:space="preserve"> Mu</w:t>
      </w:r>
      <w:r w:rsidR="00831E1D" w:rsidRPr="002C2F74">
        <w:rPr>
          <w:rFonts w:eastAsiaTheme="minorEastAsia" w:cs="Times New Roman"/>
          <w:vertAlign w:val="superscript"/>
        </w:rPr>
        <w:t>2</w:t>
      </w:r>
      <w:r w:rsidR="00831E1D" w:rsidRPr="002C2F74">
        <w:rPr>
          <w:rFonts w:cs="Times New Roman"/>
          <w:vertAlign w:val="superscript"/>
        </w:rPr>
        <w:t>,</w:t>
      </w:r>
      <w:r w:rsidR="00252EAB" w:rsidRPr="002C2F74">
        <w:rPr>
          <w:rFonts w:eastAsiaTheme="minorEastAsia" w:cs="Times New Roman"/>
          <w:vertAlign w:val="superscript"/>
        </w:rPr>
        <w:t>3</w:t>
      </w:r>
      <w:r w:rsidR="00252EAB" w:rsidRPr="002C2F74">
        <w:rPr>
          <w:rFonts w:cs="Times New Roman"/>
        </w:rPr>
        <w:t>,</w:t>
      </w:r>
      <w:r w:rsidR="00252EAB" w:rsidRPr="002C2F74">
        <w:rPr>
          <w:rFonts w:eastAsiaTheme="minorEastAsia" w:cs="Times New Roman"/>
        </w:rPr>
        <w:t xml:space="preserve"> </w:t>
      </w:r>
      <w:bookmarkStart w:id="1" w:name="_Hlk161361395"/>
      <w:r w:rsidR="00137929" w:rsidRPr="002C2F74">
        <w:rPr>
          <w:rFonts w:eastAsiaTheme="minorEastAsia" w:cs="Times New Roman"/>
        </w:rPr>
        <w:t>Siyu Qiao</w:t>
      </w:r>
      <w:r w:rsidR="00137929" w:rsidRPr="002C2F74">
        <w:rPr>
          <w:rFonts w:eastAsiaTheme="minorEastAsia" w:cs="Times New Roman"/>
          <w:vertAlign w:val="superscript"/>
        </w:rPr>
        <w:t>2</w:t>
      </w:r>
      <w:r w:rsidR="00137929" w:rsidRPr="002C2F74">
        <w:rPr>
          <w:rFonts w:eastAsiaTheme="minorEastAsia" w:cs="Times New Roman"/>
        </w:rPr>
        <w:t xml:space="preserve">, </w:t>
      </w:r>
      <w:proofErr w:type="spellStart"/>
      <w:r w:rsidRPr="002C2F74">
        <w:rPr>
          <w:rFonts w:eastAsiaTheme="minorEastAsia" w:cs="Times New Roman"/>
        </w:rPr>
        <w:t>Gangyi</w:t>
      </w:r>
      <w:proofErr w:type="spellEnd"/>
      <w:r w:rsidRPr="002C2F74">
        <w:rPr>
          <w:rFonts w:eastAsiaTheme="minorEastAsia" w:cs="Times New Roman"/>
        </w:rPr>
        <w:t xml:space="preserve"> Xiao</w:t>
      </w:r>
      <w:r w:rsidRPr="002C2F74">
        <w:rPr>
          <w:rFonts w:eastAsiaTheme="minorEastAsia" w:cs="Times New Roman"/>
          <w:vertAlign w:val="superscript"/>
        </w:rPr>
        <w:t>1</w:t>
      </w:r>
      <w:bookmarkEnd w:id="1"/>
      <w:r w:rsidRPr="002C2F74">
        <w:rPr>
          <w:rFonts w:cs="Times New Roman"/>
        </w:rPr>
        <w:t xml:space="preserve">, </w:t>
      </w:r>
      <w:r w:rsidR="00831E1D" w:rsidRPr="002C2F74">
        <w:rPr>
          <w:rFonts w:eastAsiaTheme="minorEastAsia" w:cs="Times New Roman"/>
        </w:rPr>
        <w:t>Yan Wang</w:t>
      </w:r>
      <w:r w:rsidR="00831E1D" w:rsidRPr="002C2F74">
        <w:rPr>
          <w:rFonts w:eastAsiaTheme="minorEastAsia" w:cs="Times New Roman"/>
          <w:vertAlign w:val="superscript"/>
        </w:rPr>
        <w:t>1</w:t>
      </w:r>
      <w:r w:rsidRPr="002C2F74">
        <w:rPr>
          <w:rFonts w:cs="Times New Roman"/>
          <w:vertAlign w:val="superscript"/>
        </w:rPr>
        <w:t>*</w:t>
      </w:r>
      <w:r w:rsidRPr="002C2F74">
        <w:rPr>
          <w:rFonts w:cs="Times New Roman"/>
        </w:rPr>
        <w:t>, Ying Xu</w:t>
      </w:r>
      <w:r w:rsidR="00F00F45" w:rsidRPr="002C2F74">
        <w:rPr>
          <w:rFonts w:eastAsiaTheme="minorEastAsia" w:cs="Times New Roman"/>
          <w:vertAlign w:val="superscript"/>
        </w:rPr>
        <w:t>2</w:t>
      </w:r>
      <w:r w:rsidRPr="002C2F74">
        <w:rPr>
          <w:rFonts w:cs="Times New Roman"/>
          <w:vertAlign w:val="superscript"/>
        </w:rPr>
        <w:t>*</w:t>
      </w:r>
    </w:p>
    <w:p w14:paraId="4F7D0F32" w14:textId="7BCE63AF" w:rsidR="00A24571" w:rsidRPr="002C2F74" w:rsidRDefault="00A24571" w:rsidP="00A163C1">
      <w:pPr>
        <w:snapToGrid w:val="0"/>
        <w:spacing w:line="276" w:lineRule="auto"/>
        <w:rPr>
          <w:rFonts w:eastAsiaTheme="minorEastAsia" w:cs="Times New Roman"/>
          <w:color w:val="000000" w:themeColor="text1"/>
        </w:rPr>
      </w:pPr>
      <w:r w:rsidRPr="002C2F74">
        <w:rPr>
          <w:rFonts w:cs="Times New Roman"/>
          <w:color w:val="000000" w:themeColor="text1"/>
          <w:vertAlign w:val="superscript"/>
        </w:rPr>
        <w:t>1</w:t>
      </w:r>
      <w:r w:rsidRPr="002C2F74">
        <w:rPr>
          <w:rFonts w:cs="Times New Roman"/>
          <w:color w:val="000000" w:themeColor="text1"/>
        </w:rPr>
        <w:t xml:space="preserve">College of Computer Science and Technology, Jilin University, </w:t>
      </w:r>
      <w:r w:rsidRPr="002C2F74">
        <w:rPr>
          <w:rFonts w:cs="Times New Roman"/>
        </w:rPr>
        <w:t xml:space="preserve">Changchun, </w:t>
      </w:r>
      <w:r w:rsidRPr="002C2F74">
        <w:rPr>
          <w:rFonts w:cs="Times New Roman"/>
          <w:color w:val="000000" w:themeColor="text1"/>
        </w:rPr>
        <w:t xml:space="preserve">China, </w:t>
      </w:r>
      <w:r w:rsidRPr="002C2F74">
        <w:rPr>
          <w:rFonts w:cs="Times New Roman"/>
          <w:color w:val="000000" w:themeColor="text1"/>
          <w:vertAlign w:val="superscript"/>
        </w:rPr>
        <w:t>2</w:t>
      </w:r>
      <w:r w:rsidRPr="002C2F74">
        <w:rPr>
          <w:rFonts w:cs="Times New Roman"/>
        </w:rPr>
        <w:t>Systems Biology Lab for Metabolic Reprogramming, Department of Human Genetics and Cell Biology, School of Medicine, Southern University of Science and Technology, Shenzhen, China</w:t>
      </w:r>
      <w:r w:rsidRPr="002C2F74">
        <w:rPr>
          <w:rFonts w:cs="Times New Roman"/>
          <w:color w:val="000000" w:themeColor="text1"/>
        </w:rPr>
        <w:t xml:space="preserve">, </w:t>
      </w:r>
      <w:r w:rsidRPr="002C2F74">
        <w:rPr>
          <w:rFonts w:cs="Times New Roman"/>
          <w:color w:val="000000" w:themeColor="text1"/>
          <w:vertAlign w:val="superscript"/>
        </w:rPr>
        <w:t>3</w:t>
      </w:r>
      <w:bookmarkStart w:id="2" w:name="OLE_LINK4"/>
      <w:r w:rsidRPr="002C2F74">
        <w:rPr>
          <w:rFonts w:cs="Times New Roman"/>
        </w:rPr>
        <w:t>School of Mathematics, Jilin University, Changchun, China</w:t>
      </w:r>
      <w:bookmarkEnd w:id="2"/>
      <w:r w:rsidRPr="002C2F74">
        <w:rPr>
          <w:rFonts w:eastAsiaTheme="minorEastAsia" w:cs="Times New Roman"/>
          <w:color w:val="000000" w:themeColor="text1"/>
        </w:rPr>
        <w:t>.</w:t>
      </w:r>
    </w:p>
    <w:p w14:paraId="0BBCC1B7" w14:textId="450CADF6" w:rsidR="00A24571" w:rsidRPr="002C2F74" w:rsidRDefault="00A24571" w:rsidP="00A163C1">
      <w:pPr>
        <w:snapToGrid w:val="0"/>
        <w:spacing w:line="276" w:lineRule="auto"/>
        <w:jc w:val="center"/>
        <w:rPr>
          <w:rFonts w:cs="Times New Roman"/>
          <w:u w:val="single"/>
        </w:rPr>
      </w:pPr>
      <w:r w:rsidRPr="002C2F74">
        <w:rPr>
          <w:rFonts w:cs="Times New Roman"/>
        </w:rPr>
        <w:t>*Correspondence:</w:t>
      </w:r>
      <w:r w:rsidR="00003BA7" w:rsidRPr="002C2F74">
        <w:rPr>
          <w:rFonts w:eastAsia="等线" w:cs="Times New Roman"/>
          <w:color w:val="000000"/>
        </w:rPr>
        <w:t xml:space="preserve"> </w:t>
      </w:r>
      <w:r w:rsidR="00003BA7" w:rsidRPr="002C2F74">
        <w:rPr>
          <w:rFonts w:cs="Times New Roman"/>
        </w:rPr>
        <w:t>wy6868@jlu.edu.cn</w:t>
      </w:r>
      <w:r w:rsidRPr="002C2F74">
        <w:rPr>
          <w:rFonts w:eastAsiaTheme="minorEastAsia" w:cs="Times New Roman"/>
        </w:rPr>
        <w:t>,</w:t>
      </w:r>
      <w:r w:rsidRPr="002C2F74">
        <w:rPr>
          <w:rFonts w:eastAsiaTheme="minorEastAsia" w:cs="Times New Roman"/>
          <w:u w:val="single"/>
        </w:rPr>
        <w:t xml:space="preserve"> </w:t>
      </w:r>
      <w:hyperlink r:id="rId8" w:history="1">
        <w:r w:rsidRPr="002C2F74">
          <w:rPr>
            <w:rStyle w:val="ae"/>
            <w:rFonts w:cs="Times New Roman"/>
            <w:bCs/>
            <w:color w:val="auto"/>
            <w:u w:val="none"/>
          </w:rPr>
          <w:t>xuy9@sustech.edu.cn</w:t>
        </w:r>
      </w:hyperlink>
    </w:p>
    <w:bookmarkEnd w:id="0"/>
    <w:p w14:paraId="63FDD3A9" w14:textId="77777777" w:rsidR="00A24571" w:rsidRPr="002C2F74" w:rsidRDefault="00A24571" w:rsidP="00A163C1">
      <w:pPr>
        <w:snapToGrid w:val="0"/>
        <w:spacing w:line="276" w:lineRule="auto"/>
        <w:rPr>
          <w:rFonts w:cs="Times New Roman"/>
          <w:b/>
          <w:bCs/>
        </w:rPr>
      </w:pPr>
    </w:p>
    <w:p w14:paraId="3EA215A1" w14:textId="083716E0" w:rsidR="00D36240" w:rsidRPr="002C2F74" w:rsidRDefault="00A163C1" w:rsidP="00A163C1">
      <w:pPr>
        <w:snapToGrid w:val="0"/>
        <w:spacing w:line="276" w:lineRule="auto"/>
        <w:rPr>
          <w:rFonts w:eastAsiaTheme="minorEastAsia" w:cs="Times New Roman"/>
          <w:b/>
          <w:bCs/>
        </w:rPr>
      </w:pPr>
      <w:r w:rsidRPr="002C2F74">
        <w:rPr>
          <w:rFonts w:eastAsiaTheme="minorEastAsia" w:cs="Times New Roman"/>
          <w:b/>
          <w:bCs/>
        </w:rPr>
        <w:t>ABSTRACT</w:t>
      </w:r>
    </w:p>
    <w:p w14:paraId="247088CE" w14:textId="2D416D66" w:rsidR="0049016A" w:rsidRPr="002C2F74" w:rsidRDefault="004B674A" w:rsidP="00EE372C">
      <w:pPr>
        <w:snapToGrid w:val="0"/>
        <w:spacing w:line="276" w:lineRule="auto"/>
        <w:ind w:firstLine="420"/>
        <w:rPr>
          <w:rFonts w:eastAsiaTheme="minorEastAsia" w:cs="Times New Roman"/>
        </w:rPr>
      </w:pPr>
      <w:r w:rsidRPr="002C2F74">
        <w:rPr>
          <w:rFonts w:eastAsiaTheme="minorEastAsia" w:cs="Times New Roman"/>
        </w:rPr>
        <w:t xml:space="preserve">Accurate </w:t>
      </w:r>
      <w:r w:rsidR="00CF3CD4" w:rsidRPr="002C2F74">
        <w:rPr>
          <w:rFonts w:eastAsiaTheme="minorEastAsia" w:cs="Times New Roman"/>
        </w:rPr>
        <w:t xml:space="preserve">identification and functional </w:t>
      </w:r>
      <w:r w:rsidRPr="002C2F74">
        <w:rPr>
          <w:rFonts w:eastAsiaTheme="minorEastAsia" w:cs="Times New Roman"/>
        </w:rPr>
        <w:t xml:space="preserve">annotation of </w:t>
      </w:r>
      <w:r w:rsidR="00CF3CD4" w:rsidRPr="002C2F74">
        <w:rPr>
          <w:rFonts w:eastAsiaTheme="minorEastAsia" w:cs="Times New Roman"/>
        </w:rPr>
        <w:t xml:space="preserve">splicing </w:t>
      </w:r>
      <w:r w:rsidRPr="002C2F74">
        <w:rPr>
          <w:rFonts w:eastAsiaTheme="minorEastAsia" w:cs="Times New Roman"/>
        </w:rPr>
        <w:t xml:space="preserve">isoforms </w:t>
      </w:r>
      <w:r w:rsidR="00CF3CD4" w:rsidRPr="002C2F74">
        <w:rPr>
          <w:rFonts w:eastAsiaTheme="minorEastAsia" w:cs="Times New Roman"/>
        </w:rPr>
        <w:t>and non-coding RNAs</w:t>
      </w:r>
      <w:r w:rsidR="00CD4A5F">
        <w:rPr>
          <w:rFonts w:eastAsiaTheme="minorEastAsia" w:cs="Times New Roman" w:hint="eastAsia"/>
        </w:rPr>
        <w:t xml:space="preserve"> </w:t>
      </w:r>
      <w:r w:rsidR="00CD4A5F" w:rsidRPr="002C2F74">
        <w:rPr>
          <w:rFonts w:eastAsiaTheme="minorEastAsia" w:cs="Times New Roman"/>
        </w:rPr>
        <w:t>(</w:t>
      </w:r>
      <w:proofErr w:type="spellStart"/>
      <w:r w:rsidR="00CD4A5F" w:rsidRPr="002C2F74">
        <w:rPr>
          <w:rFonts w:eastAsiaTheme="minorEastAsia" w:cs="Times New Roman"/>
        </w:rPr>
        <w:t>lncRNAs</w:t>
      </w:r>
      <w:proofErr w:type="spellEnd"/>
      <w:r w:rsidR="00CD4A5F" w:rsidRPr="002C2F74">
        <w:rPr>
          <w:rFonts w:eastAsiaTheme="minorEastAsia" w:cs="Times New Roman"/>
        </w:rPr>
        <w:t>)</w:t>
      </w:r>
      <w:r w:rsidR="003B674C" w:rsidRPr="002C2F74">
        <w:rPr>
          <w:rFonts w:eastAsiaTheme="minorEastAsia" w:cs="Times New Roman"/>
        </w:rPr>
        <w:t>, in addition to full-length protein-encoding transcripts,</w:t>
      </w:r>
      <w:r w:rsidR="00CF3CD4" w:rsidRPr="002C2F74">
        <w:rPr>
          <w:rFonts w:eastAsiaTheme="minorEastAsia" w:cs="Times New Roman"/>
        </w:rPr>
        <w:t xml:space="preserve"> </w:t>
      </w:r>
      <w:r w:rsidRPr="002C2F74">
        <w:rPr>
          <w:rFonts w:eastAsiaTheme="minorEastAsia" w:cs="Times New Roman" w:hint="eastAsia"/>
        </w:rPr>
        <w:t>i</w:t>
      </w:r>
      <w:r w:rsidRPr="002C2F74">
        <w:rPr>
          <w:rFonts w:eastAsiaTheme="minorEastAsia" w:cs="Times New Roman"/>
        </w:rPr>
        <w:t xml:space="preserve">s </w:t>
      </w:r>
      <w:r w:rsidR="00CD4A5F">
        <w:rPr>
          <w:rFonts w:eastAsiaTheme="minorEastAsia" w:cs="Times New Roman"/>
        </w:rPr>
        <w:t>essential</w:t>
      </w:r>
      <w:r w:rsidR="00CD4A5F" w:rsidRPr="002C2F74">
        <w:rPr>
          <w:rFonts w:eastAsiaTheme="minorEastAsia" w:cs="Times New Roman"/>
        </w:rPr>
        <w:t xml:space="preserve"> </w:t>
      </w:r>
      <w:r w:rsidRPr="002C2F74">
        <w:rPr>
          <w:rFonts w:eastAsiaTheme="minorEastAsia" w:cs="Times New Roman"/>
        </w:rPr>
        <w:t xml:space="preserve">for </w:t>
      </w:r>
      <w:r w:rsidR="003B674C" w:rsidRPr="002C2F74">
        <w:rPr>
          <w:rFonts w:eastAsiaTheme="minorEastAsia" w:cs="Times New Roman"/>
        </w:rPr>
        <w:t>detailed</w:t>
      </w:r>
      <w:r w:rsidR="00CF3CD4" w:rsidRPr="002C2F74">
        <w:rPr>
          <w:rFonts w:eastAsiaTheme="minorEastAsia" w:cs="Times New Roman"/>
        </w:rPr>
        <w:t xml:space="preserve"> </w:t>
      </w:r>
      <w:r w:rsidRPr="002C2F74">
        <w:rPr>
          <w:rFonts w:eastAsiaTheme="minorEastAsia" w:cs="Times New Roman"/>
        </w:rPr>
        <w:t xml:space="preserve">understanding </w:t>
      </w:r>
      <w:r w:rsidR="00CF3CD4" w:rsidRPr="002C2F74">
        <w:rPr>
          <w:rFonts w:eastAsiaTheme="minorEastAsia" w:cs="Times New Roman"/>
        </w:rPr>
        <w:t xml:space="preserve">of </w:t>
      </w:r>
      <w:r w:rsidRPr="002C2F74">
        <w:rPr>
          <w:rFonts w:eastAsiaTheme="minorEastAsia" w:cs="Times New Roman"/>
        </w:rPr>
        <w:t xml:space="preserve">the complexities of gene </w:t>
      </w:r>
      <w:r w:rsidR="003B674C" w:rsidRPr="002C2F74">
        <w:rPr>
          <w:rFonts w:eastAsiaTheme="minorEastAsia" w:cs="Times New Roman"/>
        </w:rPr>
        <w:t>(mis)</w:t>
      </w:r>
      <w:r w:rsidRPr="002C2F74">
        <w:rPr>
          <w:rFonts w:eastAsiaTheme="minorEastAsia" w:cs="Times New Roman"/>
        </w:rPr>
        <w:t xml:space="preserve">regulation </w:t>
      </w:r>
      <w:r w:rsidR="00CF3CD4" w:rsidRPr="002C2F74">
        <w:rPr>
          <w:rFonts w:eastAsiaTheme="minorEastAsia" w:cs="Times New Roman"/>
        </w:rPr>
        <w:t xml:space="preserve">and metabolic reprograming </w:t>
      </w:r>
      <w:r w:rsidRPr="002C2F74">
        <w:rPr>
          <w:rFonts w:eastAsiaTheme="minorEastAsia" w:cs="Times New Roman"/>
        </w:rPr>
        <w:t xml:space="preserve">in </w:t>
      </w:r>
      <w:r w:rsidR="00CF3CD4" w:rsidRPr="002C2F74">
        <w:rPr>
          <w:rFonts w:eastAsiaTheme="minorEastAsia" w:cs="Times New Roman"/>
        </w:rPr>
        <w:t xml:space="preserve">complex </w:t>
      </w:r>
      <w:r w:rsidRPr="002C2F74">
        <w:rPr>
          <w:rFonts w:eastAsiaTheme="minorEastAsia" w:cs="Times New Roman"/>
        </w:rPr>
        <w:t>diseases like Alzheimer’s</w:t>
      </w:r>
      <w:r w:rsidR="00CF3CD4" w:rsidRPr="002C2F74">
        <w:rPr>
          <w:rFonts w:eastAsiaTheme="minorEastAsia" w:cs="Times New Roman"/>
        </w:rPr>
        <w:t xml:space="preserve"> disease (AD). </w:t>
      </w:r>
      <w:r w:rsidRPr="002C2F74">
        <w:rPr>
          <w:rFonts w:eastAsiaTheme="minorEastAsia" w:cs="Times New Roman"/>
        </w:rPr>
        <w:t xml:space="preserve">In this study, we </w:t>
      </w:r>
      <w:r w:rsidR="00CF3CD4" w:rsidRPr="002C2F74">
        <w:rPr>
          <w:rFonts w:eastAsiaTheme="minorEastAsia" w:cs="Times New Roman"/>
        </w:rPr>
        <w:t xml:space="preserve">present </w:t>
      </w:r>
      <w:r w:rsidRPr="002C2F74">
        <w:rPr>
          <w:rFonts w:eastAsiaTheme="minorEastAsia" w:cs="Times New Roman"/>
        </w:rPr>
        <w:t xml:space="preserve">a </w:t>
      </w:r>
      <w:r w:rsidR="00EE372C">
        <w:rPr>
          <w:rFonts w:eastAsiaTheme="minorEastAsia" w:cs="Times New Roman"/>
        </w:rPr>
        <w:t xml:space="preserve">comprehensive </w:t>
      </w:r>
      <w:r w:rsidR="0049016A" w:rsidRPr="002C2F74">
        <w:rPr>
          <w:rFonts w:eastAsiaTheme="minorEastAsia" w:cs="Times New Roman"/>
        </w:rPr>
        <w:t xml:space="preserve">set of </w:t>
      </w:r>
      <w:r w:rsidR="00EE372C">
        <w:rPr>
          <w:rFonts w:eastAsiaTheme="minorEastAsia" w:cs="Times New Roman" w:hint="eastAsia"/>
        </w:rPr>
        <w:t>transcripts</w:t>
      </w:r>
      <w:r w:rsidR="00EE372C">
        <w:rPr>
          <w:rFonts w:eastAsiaTheme="minorEastAsia" w:cs="Times New Roman"/>
        </w:rPr>
        <w:t xml:space="preserve">, including </w:t>
      </w:r>
      <w:r w:rsidR="0049016A" w:rsidRPr="002C2F74">
        <w:rPr>
          <w:rFonts w:eastAsiaTheme="minorEastAsia" w:cs="Times New Roman"/>
        </w:rPr>
        <w:t xml:space="preserve">splicing isoforms and </w:t>
      </w:r>
      <w:proofErr w:type="spellStart"/>
      <w:r w:rsidR="0049016A" w:rsidRPr="002C2F74">
        <w:rPr>
          <w:rFonts w:eastAsiaTheme="minorEastAsia" w:cs="Times New Roman"/>
        </w:rPr>
        <w:t>lncRNAs</w:t>
      </w:r>
      <w:proofErr w:type="spellEnd"/>
      <w:r w:rsidR="0049016A" w:rsidRPr="002C2F74">
        <w:rPr>
          <w:rFonts w:eastAsiaTheme="minorEastAsia" w:cs="Times New Roman"/>
        </w:rPr>
        <w:t xml:space="preserve">, assembled </w:t>
      </w:r>
      <w:r w:rsidR="00CD4A5F">
        <w:rPr>
          <w:rFonts w:eastAsiaTheme="minorEastAsia" w:cs="Times New Roman" w:hint="eastAsia"/>
        </w:rPr>
        <w:t>from</w:t>
      </w:r>
      <w:r w:rsidR="0049016A" w:rsidRPr="002C2F74">
        <w:rPr>
          <w:rFonts w:eastAsiaTheme="minorEastAsia" w:cs="Times New Roman"/>
        </w:rPr>
        <w:t xml:space="preserve"> </w:t>
      </w:r>
      <w:r w:rsidR="003B674C" w:rsidRPr="002C2F74">
        <w:rPr>
          <w:rFonts w:eastAsiaTheme="minorEastAsia" w:cs="Times New Roman"/>
        </w:rPr>
        <w:t xml:space="preserve">publicly available raw </w:t>
      </w:r>
      <w:r w:rsidR="0049016A" w:rsidRPr="002C2F74">
        <w:rPr>
          <w:rFonts w:eastAsiaTheme="minorEastAsia" w:cs="Times New Roman"/>
        </w:rPr>
        <w:t xml:space="preserve">RNAseq reads expressed in </w:t>
      </w:r>
      <w:r w:rsidR="00674AB0">
        <w:rPr>
          <w:rFonts w:eastAsiaTheme="minorEastAsia" w:cs="Times New Roman"/>
        </w:rPr>
        <w:t>pre-</w:t>
      </w:r>
      <w:r w:rsidR="0049016A" w:rsidRPr="002C2F74">
        <w:rPr>
          <w:rFonts w:eastAsiaTheme="minorEastAsia" w:cs="Times New Roman"/>
        </w:rPr>
        <w:t xml:space="preserve">AD </w:t>
      </w:r>
      <w:r w:rsidR="003B674C" w:rsidRPr="002C2F74">
        <w:rPr>
          <w:rFonts w:eastAsiaTheme="minorEastAsia" w:cs="Times New Roman"/>
        </w:rPr>
        <w:t xml:space="preserve">and AD </w:t>
      </w:r>
      <w:r w:rsidR="0049016A" w:rsidRPr="002C2F74">
        <w:rPr>
          <w:rFonts w:eastAsiaTheme="minorEastAsia" w:cs="Times New Roman"/>
        </w:rPr>
        <w:t>tissues, and their functional annotations</w:t>
      </w:r>
      <w:r w:rsidR="00674AB0">
        <w:rPr>
          <w:rFonts w:eastAsiaTheme="minorEastAsia" w:cs="Times New Roman"/>
        </w:rPr>
        <w:t>.</w:t>
      </w:r>
      <w:r w:rsidR="0049016A" w:rsidRPr="002C2F74">
        <w:rPr>
          <w:rFonts w:eastAsiaTheme="minorEastAsia" w:cs="Times New Roman"/>
        </w:rPr>
        <w:t xml:space="preserve"> </w:t>
      </w:r>
      <w:r w:rsidR="00674AB0">
        <w:rPr>
          <w:rFonts w:eastAsiaTheme="minorEastAsia" w:cs="Times New Roman"/>
        </w:rPr>
        <w:t>These data and information</w:t>
      </w:r>
      <w:r w:rsidR="00674AB0" w:rsidRPr="002C2F74">
        <w:rPr>
          <w:rFonts w:eastAsiaTheme="minorEastAsia" w:cs="Times New Roman"/>
        </w:rPr>
        <w:t xml:space="preserve"> </w:t>
      </w:r>
      <w:r w:rsidR="00CD4A5F">
        <w:rPr>
          <w:rFonts w:eastAsiaTheme="minorEastAsia" w:cs="Times New Roman"/>
        </w:rPr>
        <w:t>expand</w:t>
      </w:r>
      <w:r w:rsidR="00CD4A5F" w:rsidRPr="002C2F74">
        <w:rPr>
          <w:rFonts w:eastAsiaTheme="minorEastAsia" w:cs="Times New Roman"/>
        </w:rPr>
        <w:t xml:space="preserve"> </w:t>
      </w:r>
      <w:r w:rsidR="0049016A" w:rsidRPr="002C2F74">
        <w:rPr>
          <w:rFonts w:eastAsiaTheme="minorEastAsia" w:cs="Times New Roman"/>
        </w:rPr>
        <w:t xml:space="preserve">considerably the scope and depth of the relevant data </w:t>
      </w:r>
      <w:r w:rsidR="00674AB0">
        <w:rPr>
          <w:rFonts w:eastAsiaTheme="minorEastAsia" w:cs="Times New Roman"/>
        </w:rPr>
        <w:t>currently</w:t>
      </w:r>
      <w:r w:rsidR="0049016A" w:rsidRPr="002C2F74">
        <w:rPr>
          <w:rFonts w:eastAsiaTheme="minorEastAsia" w:cs="Times New Roman"/>
        </w:rPr>
        <w:t xml:space="preserve"> available </w:t>
      </w:r>
      <w:r w:rsidR="00674AB0">
        <w:rPr>
          <w:rFonts w:eastAsiaTheme="minorEastAsia" w:cs="Times New Roman"/>
        </w:rPr>
        <w:t>in public databases</w:t>
      </w:r>
      <w:r w:rsidRPr="002C2F74">
        <w:rPr>
          <w:rFonts w:eastAsiaTheme="minorEastAsia" w:cs="Times New Roman"/>
        </w:rPr>
        <w:t xml:space="preserve">. </w:t>
      </w:r>
      <w:r w:rsidR="00A56BDE" w:rsidRPr="002C2F74">
        <w:rPr>
          <w:rFonts w:eastAsiaTheme="minorEastAsia" w:cs="Times New Roman"/>
        </w:rPr>
        <w:t xml:space="preserve">Our analyses have </w:t>
      </w:r>
      <w:r w:rsidR="00BE40E2">
        <w:rPr>
          <w:rFonts w:eastAsiaTheme="minorEastAsia" w:cs="Times New Roman"/>
        </w:rPr>
        <w:t>identified</w:t>
      </w:r>
      <w:r w:rsidR="00BE40E2" w:rsidRPr="002C2F74">
        <w:rPr>
          <w:rFonts w:eastAsiaTheme="minorEastAsia" w:cs="Times New Roman"/>
        </w:rPr>
        <w:t xml:space="preserve"> </w:t>
      </w:r>
      <w:r w:rsidR="00BE40E2">
        <w:rPr>
          <w:rFonts w:eastAsiaTheme="minorEastAsia" w:cs="Times New Roman"/>
        </w:rPr>
        <w:t xml:space="preserve">and corrected </w:t>
      </w:r>
      <w:r w:rsidR="00A56BDE" w:rsidRPr="002C2F74">
        <w:rPr>
          <w:rFonts w:eastAsiaTheme="minorEastAsia" w:cs="Times New Roman"/>
        </w:rPr>
        <w:t>numerous false identification and annotation</w:t>
      </w:r>
      <w:r w:rsidR="003B674C" w:rsidRPr="002C2F74">
        <w:rPr>
          <w:rFonts w:eastAsiaTheme="minorEastAsia" w:cs="Times New Roman"/>
        </w:rPr>
        <w:t>s</w:t>
      </w:r>
      <w:r w:rsidR="00A56BDE" w:rsidRPr="002C2F74">
        <w:rPr>
          <w:rFonts w:eastAsiaTheme="minorEastAsia" w:cs="Times New Roman"/>
        </w:rPr>
        <w:t xml:space="preserve"> </w:t>
      </w:r>
      <w:r w:rsidR="009D5973">
        <w:rPr>
          <w:rFonts w:eastAsiaTheme="minorEastAsia" w:cs="Times New Roman"/>
        </w:rPr>
        <w:t xml:space="preserve">in </w:t>
      </w:r>
      <w:r w:rsidR="00CD4A5F">
        <w:rPr>
          <w:rFonts w:eastAsiaTheme="minorEastAsia" w:cs="Times New Roman"/>
        </w:rPr>
        <w:t xml:space="preserve">the existing </w:t>
      </w:r>
      <w:r w:rsidR="00BE40E2">
        <w:rPr>
          <w:rFonts w:eastAsiaTheme="minorEastAsia" w:cs="Times New Roman"/>
        </w:rPr>
        <w:t xml:space="preserve">AD </w:t>
      </w:r>
      <w:r w:rsidR="00CD4A5F">
        <w:rPr>
          <w:rFonts w:eastAsiaTheme="minorEastAsia" w:cs="Times New Roman"/>
        </w:rPr>
        <w:t>transcripts</w:t>
      </w:r>
      <w:r w:rsidR="00A56BDE" w:rsidRPr="002C2F74">
        <w:rPr>
          <w:rFonts w:eastAsiaTheme="minorEastAsia" w:cs="Times New Roman"/>
        </w:rPr>
        <w:t xml:space="preserve">. We have then demonstrated that our improved transcript identification and function annotation can provide substantially more information related to AD </w:t>
      </w:r>
      <w:r w:rsidR="00CD4A5F">
        <w:rPr>
          <w:rFonts w:eastAsiaTheme="minorEastAsia" w:cs="Times New Roman"/>
        </w:rPr>
        <w:t>onset and</w:t>
      </w:r>
      <w:r w:rsidR="00200E39">
        <w:rPr>
          <w:rFonts w:eastAsiaTheme="minorEastAsia" w:cs="Times New Roman"/>
        </w:rPr>
        <w:t xml:space="preserve"> </w:t>
      </w:r>
      <w:r w:rsidR="00A56BDE" w:rsidRPr="002C2F74">
        <w:rPr>
          <w:rFonts w:eastAsiaTheme="minorEastAsia" w:cs="Times New Roman"/>
        </w:rPr>
        <w:t xml:space="preserve">development compared to the currently </w:t>
      </w:r>
      <w:r w:rsidR="003B674C" w:rsidRPr="002C2F74">
        <w:rPr>
          <w:rFonts w:eastAsiaTheme="minorEastAsia" w:cs="Times New Roman"/>
        </w:rPr>
        <w:t xml:space="preserve">available data. We anticipate that this new data source, coupled with the associated analysis tools, will provide highly valuable information </w:t>
      </w:r>
      <w:r w:rsidR="006A4295">
        <w:rPr>
          <w:rFonts w:eastAsiaTheme="minorEastAsia" w:cs="Times New Roman"/>
        </w:rPr>
        <w:t>to</w:t>
      </w:r>
      <w:r w:rsidR="006A4295" w:rsidRPr="002C2F74">
        <w:rPr>
          <w:rFonts w:eastAsiaTheme="minorEastAsia" w:cs="Times New Roman"/>
        </w:rPr>
        <w:t xml:space="preserve"> </w:t>
      </w:r>
      <w:r w:rsidR="003B674C" w:rsidRPr="002C2F74">
        <w:rPr>
          <w:rFonts w:eastAsiaTheme="minorEastAsia" w:cs="Times New Roman"/>
        </w:rPr>
        <w:t xml:space="preserve">AD researchers. </w:t>
      </w:r>
    </w:p>
    <w:p w14:paraId="4C744FEF" w14:textId="77777777" w:rsidR="007737B8" w:rsidRPr="002C2F74" w:rsidRDefault="007737B8" w:rsidP="00A163C1">
      <w:pPr>
        <w:snapToGrid w:val="0"/>
        <w:spacing w:line="276" w:lineRule="auto"/>
        <w:rPr>
          <w:rFonts w:eastAsiaTheme="minorEastAsia" w:cs="Times New Roman"/>
        </w:rPr>
      </w:pPr>
    </w:p>
    <w:p w14:paraId="39EB1C19" w14:textId="7387A8E6" w:rsidR="007737B8" w:rsidRPr="002C2F74" w:rsidRDefault="007737B8" w:rsidP="00A163C1">
      <w:pPr>
        <w:snapToGrid w:val="0"/>
        <w:spacing w:line="276" w:lineRule="auto"/>
        <w:rPr>
          <w:rFonts w:eastAsiaTheme="minorEastAsia" w:cs="Times New Roman"/>
          <w:color w:val="000000" w:themeColor="text1"/>
          <w:shd w:val="clear" w:color="auto" w:fill="FFFFFF"/>
        </w:rPr>
      </w:pPr>
      <w:r w:rsidRPr="002C2F74">
        <w:rPr>
          <w:rFonts w:cs="Times New Roman"/>
          <w:b/>
          <w:bCs/>
          <w:color w:val="000000" w:themeColor="text1"/>
        </w:rPr>
        <w:t>K</w:t>
      </w:r>
      <w:r w:rsidRPr="002C2F74">
        <w:rPr>
          <w:rFonts w:eastAsiaTheme="minorEastAsia" w:cs="Times New Roman"/>
          <w:b/>
          <w:bCs/>
          <w:color w:val="000000" w:themeColor="text1"/>
        </w:rPr>
        <w:t>EYWORDS</w:t>
      </w:r>
      <w:r w:rsidRPr="002C2F74">
        <w:rPr>
          <w:rFonts w:cs="Times New Roman"/>
          <w:color w:val="000000" w:themeColor="text1"/>
        </w:rPr>
        <w:t xml:space="preserve">: </w:t>
      </w:r>
      <w:r w:rsidRPr="002C2F74">
        <w:rPr>
          <w:rFonts w:cs="Times New Roman"/>
          <w:color w:val="000000" w:themeColor="text1"/>
          <w:shd w:val="clear" w:color="auto" w:fill="FFFFFF"/>
        </w:rPr>
        <w:t xml:space="preserve">Alzheimer's disease, </w:t>
      </w:r>
      <w:proofErr w:type="spellStart"/>
      <w:r w:rsidR="0011303F" w:rsidRPr="002C2F74">
        <w:rPr>
          <w:rFonts w:cs="Times New Roman"/>
          <w:color w:val="000000" w:themeColor="text1"/>
          <w:shd w:val="clear" w:color="auto" w:fill="FFFFFF"/>
        </w:rPr>
        <w:t>lnc</w:t>
      </w:r>
      <w:r w:rsidRPr="002C2F74">
        <w:rPr>
          <w:rFonts w:cs="Times New Roman"/>
          <w:color w:val="000000" w:themeColor="text1"/>
          <w:shd w:val="clear" w:color="auto" w:fill="FFFFFF"/>
        </w:rPr>
        <w:t>RNAs</w:t>
      </w:r>
      <w:proofErr w:type="spellEnd"/>
      <w:r w:rsidRPr="002C2F74">
        <w:rPr>
          <w:rFonts w:cs="Times New Roman"/>
          <w:color w:val="000000" w:themeColor="text1"/>
          <w:shd w:val="clear" w:color="auto" w:fill="FFFFFF"/>
        </w:rPr>
        <w:t xml:space="preserve">, </w:t>
      </w:r>
      <w:r w:rsidR="0011303F" w:rsidRPr="002C2F74">
        <w:rPr>
          <w:rFonts w:cs="Times New Roman"/>
          <w:color w:val="000000" w:themeColor="text1"/>
          <w:shd w:val="clear" w:color="auto" w:fill="FFFFFF"/>
        </w:rPr>
        <w:t xml:space="preserve">splicing variants, </w:t>
      </w:r>
      <w:r w:rsidRPr="002C2F74">
        <w:rPr>
          <w:rFonts w:eastAsiaTheme="minorEastAsia" w:cs="Times New Roman"/>
          <w:color w:val="000000" w:themeColor="text1"/>
        </w:rPr>
        <w:t>Fenton reaction</w:t>
      </w:r>
      <w:r w:rsidR="00330778" w:rsidRPr="002C2F74">
        <w:rPr>
          <w:rFonts w:eastAsiaTheme="minorEastAsia" w:cs="Times New Roman"/>
          <w:color w:val="000000" w:themeColor="text1"/>
        </w:rPr>
        <w:t xml:space="preserve">, metabolic reprogramming </w:t>
      </w:r>
    </w:p>
    <w:p w14:paraId="0929BC64" w14:textId="77777777" w:rsidR="00FA6FD9" w:rsidRPr="002C2F74" w:rsidRDefault="00FA6FD9" w:rsidP="00A163C1">
      <w:pPr>
        <w:snapToGrid w:val="0"/>
        <w:spacing w:line="276" w:lineRule="auto"/>
        <w:rPr>
          <w:rFonts w:eastAsiaTheme="minorEastAsia" w:cs="Times New Roman"/>
        </w:rPr>
      </w:pPr>
    </w:p>
    <w:p w14:paraId="7A9B43C9" w14:textId="65CB47A4" w:rsidR="00457615" w:rsidRPr="002C2F74" w:rsidRDefault="00A163C1" w:rsidP="00F20B86">
      <w:pPr>
        <w:snapToGrid w:val="0"/>
        <w:spacing w:line="276" w:lineRule="auto"/>
        <w:rPr>
          <w:rFonts w:eastAsiaTheme="minorEastAsia" w:cs="Times New Roman"/>
        </w:rPr>
      </w:pPr>
      <w:r w:rsidRPr="002C2F74">
        <w:rPr>
          <w:rFonts w:eastAsiaTheme="minorEastAsia" w:cs="Times New Roman"/>
          <w:b/>
          <w:bCs/>
        </w:rPr>
        <w:t>CONCLUSION</w:t>
      </w:r>
      <w:r w:rsidR="005676D4" w:rsidRPr="002C2F74">
        <w:rPr>
          <w:rFonts w:eastAsiaTheme="minorEastAsia" w:cs="Times New Roman"/>
        </w:rPr>
        <w:t> </w:t>
      </w:r>
    </w:p>
    <w:p w14:paraId="2D238E87" w14:textId="0FC9F40E" w:rsidR="00330778" w:rsidRPr="002C2F74" w:rsidRDefault="00075D18" w:rsidP="00F24969">
      <w:pPr>
        <w:snapToGrid w:val="0"/>
        <w:spacing w:line="276" w:lineRule="auto"/>
        <w:ind w:firstLine="420"/>
        <w:rPr>
          <w:rFonts w:eastAsiaTheme="minorEastAsia" w:cs="Times New Roman"/>
        </w:rPr>
      </w:pPr>
      <w:r w:rsidRPr="002C2F74">
        <w:rPr>
          <w:rFonts w:eastAsiaTheme="minorEastAsia" w:cs="Times New Roman"/>
        </w:rPr>
        <w:t xml:space="preserve">Transcriptomic data have proven to be the most powerful type of </w:t>
      </w:r>
      <w:proofErr w:type="spellStart"/>
      <w:r w:rsidRPr="002C2F74">
        <w:rPr>
          <w:rFonts w:eastAsiaTheme="minorEastAsia" w:cs="Times New Roman"/>
        </w:rPr>
        <w:t>omic</w:t>
      </w:r>
      <w:proofErr w:type="spellEnd"/>
      <w:r w:rsidRPr="002C2F74">
        <w:rPr>
          <w:rFonts w:eastAsiaTheme="minorEastAsia" w:cs="Times New Roman"/>
        </w:rPr>
        <w:t xml:space="preserve"> data for disease studies in terms of derivation of their drivers and key</w:t>
      </w:r>
      <w:r w:rsidR="006A4295">
        <w:rPr>
          <w:rFonts w:eastAsiaTheme="minorEastAsia" w:cs="Times New Roman"/>
        </w:rPr>
        <w:t xml:space="preserve"> molecular</w:t>
      </w:r>
      <w:r w:rsidR="00227DBD" w:rsidRPr="002C2F74">
        <w:rPr>
          <w:rFonts w:eastAsiaTheme="minorEastAsia" w:cs="Times New Roman"/>
        </w:rPr>
        <w:t xml:space="preserve"> </w:t>
      </w:r>
      <w:r w:rsidRPr="002C2F74">
        <w:rPr>
          <w:rFonts w:eastAsiaTheme="minorEastAsia" w:cs="Times New Roman"/>
        </w:rPr>
        <w:t xml:space="preserve">mechanisms. Our study has demonstrated that the </w:t>
      </w:r>
      <w:r w:rsidR="00642496" w:rsidRPr="002C2F74">
        <w:rPr>
          <w:rFonts w:eastAsiaTheme="minorEastAsia" w:cs="Times New Roman"/>
        </w:rPr>
        <w:t xml:space="preserve">currently available transcriptomic data for AD and pre-AD tissues in the public domain are far from being adequate for detailed studies of the disease. Our new data source </w:t>
      </w:r>
      <w:r w:rsidR="00227DBD" w:rsidRPr="002C2F74">
        <w:rPr>
          <w:rFonts w:eastAsiaTheme="minorEastAsia" w:cs="Times New Roman"/>
        </w:rPr>
        <w:t xml:space="preserve">has proven to be significantly more informative than the existing one for AD studies. </w:t>
      </w:r>
    </w:p>
    <w:p w14:paraId="583EC031" w14:textId="777FBA7D" w:rsidR="00262E8F" w:rsidRPr="002C2F74" w:rsidRDefault="00262E8F" w:rsidP="00A163C1">
      <w:pPr>
        <w:snapToGrid w:val="0"/>
        <w:spacing w:line="276" w:lineRule="auto"/>
        <w:rPr>
          <w:rFonts w:eastAsiaTheme="minorEastAsia" w:cs="Times New Roman"/>
        </w:rPr>
      </w:pPr>
    </w:p>
    <w:p w14:paraId="79048A23" w14:textId="31047132" w:rsidR="005F45AF" w:rsidRPr="002C2F74" w:rsidRDefault="005F45AF" w:rsidP="00A163C1">
      <w:pPr>
        <w:snapToGrid w:val="0"/>
        <w:spacing w:line="276" w:lineRule="auto"/>
        <w:rPr>
          <w:rFonts w:eastAsiaTheme="minorEastAsia" w:cs="Times New Roman"/>
          <w:b/>
          <w:bCs/>
        </w:rPr>
      </w:pPr>
      <w:r w:rsidRPr="002C2F74">
        <w:rPr>
          <w:rFonts w:eastAsiaTheme="minorEastAsia" w:cs="Times New Roman"/>
          <w:b/>
          <w:bCs/>
        </w:rPr>
        <w:t xml:space="preserve">1. </w:t>
      </w:r>
      <w:r w:rsidR="00A163C1" w:rsidRPr="002C2F74">
        <w:rPr>
          <w:rFonts w:eastAsiaTheme="minorEastAsia" w:cs="Times New Roman"/>
          <w:b/>
          <w:bCs/>
        </w:rPr>
        <w:t>INTRODUCTION</w:t>
      </w:r>
    </w:p>
    <w:p w14:paraId="2114D5DE" w14:textId="14A512E1" w:rsidR="00086898" w:rsidRPr="002C2F74" w:rsidRDefault="007020AE" w:rsidP="005D47F8">
      <w:pPr>
        <w:snapToGrid w:val="0"/>
        <w:spacing w:line="276" w:lineRule="auto"/>
        <w:ind w:firstLine="420"/>
        <w:rPr>
          <w:rFonts w:eastAsiaTheme="minorEastAsia" w:cs="Times New Roman"/>
        </w:rPr>
      </w:pPr>
      <w:r w:rsidRPr="002C2F74">
        <w:rPr>
          <w:rFonts w:eastAsiaTheme="minorEastAsia" w:cs="Times New Roman"/>
        </w:rPr>
        <w:t xml:space="preserve">Vast majority of the </w:t>
      </w:r>
      <w:r w:rsidR="000C7C4B" w:rsidRPr="002C2F74">
        <w:rPr>
          <w:rFonts w:eastAsiaTheme="minorEastAsia" w:cs="Times New Roman"/>
        </w:rPr>
        <w:t xml:space="preserve">transcriptomic data analyses of human diseases </w:t>
      </w:r>
      <w:r w:rsidR="002B6A06" w:rsidRPr="002C2F74">
        <w:rPr>
          <w:rFonts w:eastAsiaTheme="minorEastAsia" w:cs="Times New Roman" w:hint="eastAsia"/>
        </w:rPr>
        <w:t>focu</w:t>
      </w:r>
      <w:r w:rsidR="002B6A06" w:rsidRPr="002C2F74">
        <w:rPr>
          <w:rFonts w:eastAsiaTheme="minorEastAsia" w:cs="Times New Roman"/>
        </w:rPr>
        <w:t>s</w:t>
      </w:r>
      <w:r w:rsidR="000C7C4B" w:rsidRPr="002C2F74">
        <w:rPr>
          <w:rFonts w:eastAsiaTheme="minorEastAsia" w:cs="Times New Roman"/>
        </w:rPr>
        <w:t xml:space="preserve"> on expression data of full-length transcripts of </w:t>
      </w:r>
      <w:r w:rsidR="00091810" w:rsidRPr="002C2F74">
        <w:rPr>
          <w:rFonts w:eastAsiaTheme="minorEastAsia" w:cs="Times New Roman"/>
        </w:rPr>
        <w:t>protein</w:t>
      </w:r>
      <w:r w:rsidR="002B6A06" w:rsidRPr="002C2F74">
        <w:rPr>
          <w:rFonts w:eastAsiaTheme="minorEastAsia" w:cs="Times New Roman"/>
        </w:rPr>
        <w:t>-encoding</w:t>
      </w:r>
      <w:r w:rsidR="00091810" w:rsidRPr="002C2F74">
        <w:rPr>
          <w:rFonts w:eastAsiaTheme="minorEastAsia" w:cs="Times New Roman"/>
        </w:rPr>
        <w:t xml:space="preserve"> genes. However, such data may not be adequate in full elucidation of </w:t>
      </w:r>
      <w:r w:rsidR="006A4295">
        <w:rPr>
          <w:rFonts w:eastAsiaTheme="minorEastAsia" w:cs="Times New Roman"/>
        </w:rPr>
        <w:t xml:space="preserve">the </w:t>
      </w:r>
      <w:r w:rsidR="00091810" w:rsidRPr="002C2F74">
        <w:rPr>
          <w:rFonts w:eastAsiaTheme="minorEastAsia" w:cs="Times New Roman"/>
        </w:rPr>
        <w:t xml:space="preserve">disease drivers and key mechanisms </w:t>
      </w:r>
      <w:r w:rsidR="006436DD" w:rsidRPr="002C2F74">
        <w:rPr>
          <w:rFonts w:eastAsiaTheme="minorEastAsia" w:cs="Times New Roman"/>
        </w:rPr>
        <w:t xml:space="preserve">as demonstrated </w:t>
      </w:r>
      <w:r w:rsidR="00C8744F" w:rsidRPr="002C2F74">
        <w:rPr>
          <w:rFonts w:eastAsiaTheme="minorEastAsia" w:cs="Times New Roman"/>
        </w:rPr>
        <w:t xml:space="preserve">in studies of </w:t>
      </w:r>
      <w:r w:rsidR="00982767" w:rsidRPr="002C2F74">
        <w:rPr>
          <w:rFonts w:eastAsiaTheme="minorEastAsia" w:cs="Times New Roman"/>
        </w:rPr>
        <w:t>a</w:t>
      </w:r>
      <w:r w:rsidR="00C8744F" w:rsidRPr="002C2F74">
        <w:rPr>
          <w:rFonts w:eastAsiaTheme="minorEastAsia" w:cs="Times New Roman"/>
        </w:rPr>
        <w:t xml:space="preserve">utism </w:t>
      </w:r>
      <w:r w:rsidR="00982767" w:rsidRPr="002C2F74">
        <w:rPr>
          <w:rFonts w:eastAsiaTheme="minorEastAsia" w:cs="Times New Roman"/>
        </w:rPr>
        <w:t>s</w:t>
      </w:r>
      <w:r w:rsidR="00C8744F" w:rsidRPr="002C2F74">
        <w:rPr>
          <w:rFonts w:eastAsiaTheme="minorEastAsia" w:cs="Times New Roman"/>
        </w:rPr>
        <w:t xml:space="preserve">pectrum </w:t>
      </w:r>
      <w:r w:rsidR="00982767" w:rsidRPr="002C2F74">
        <w:rPr>
          <w:rFonts w:eastAsiaTheme="minorEastAsia" w:cs="Times New Roman"/>
        </w:rPr>
        <w:t>d</w:t>
      </w:r>
      <w:r w:rsidR="00C8744F" w:rsidRPr="002C2F74">
        <w:rPr>
          <w:rFonts w:eastAsiaTheme="minorEastAsia" w:cs="Times New Roman"/>
        </w:rPr>
        <w:t xml:space="preserve">isorder (ASD), </w:t>
      </w:r>
      <w:r w:rsidR="00064DAA" w:rsidRPr="002C2F74">
        <w:rPr>
          <w:rFonts w:eastAsiaTheme="minorEastAsia" w:cs="Times New Roman"/>
        </w:rPr>
        <w:t>bipolar disorder (BD)</w:t>
      </w:r>
      <w:r w:rsidR="00064DAA" w:rsidRPr="002C2F74">
        <w:rPr>
          <w:rFonts w:eastAsiaTheme="minorEastAsia" w:cs="Times New Roman" w:hint="eastAsia"/>
        </w:rPr>
        <w:t xml:space="preserve"> and </w:t>
      </w:r>
      <w:r w:rsidR="00C8744F" w:rsidRPr="002C2F74">
        <w:rPr>
          <w:rFonts w:eastAsiaTheme="minorEastAsia" w:cs="Times New Roman"/>
        </w:rPr>
        <w:t xml:space="preserve">Schizophrenia (SCZ) </w:t>
      </w:r>
      <w:r w:rsidR="00C8744F" w:rsidRPr="002C2F74">
        <w:rPr>
          <w:rFonts w:eastAsiaTheme="minorEastAsia" w:cs="Times New Roman"/>
        </w:rPr>
        <w:fldChar w:fldCharType="begin"/>
      </w:r>
      <w:r w:rsidR="0004572E" w:rsidRPr="002C2F74">
        <w:rPr>
          <w:rFonts w:eastAsiaTheme="minorEastAsia" w:cs="Times New Roman"/>
        </w:rPr>
        <w:instrText xml:space="preserve"> ADDIN ZOTERO_ITEM CSL_CITATION {"citationID":"5gRVzt5e","properties":{"formattedCitation":"[1]","plainCitation":"[1]","noteIndex":0},"citationItems":[{"id":6999,"uris":["http://zotero.org/users/5158171/items/9VQFTXGI"],"itemData":{"id":6999,"type":"article-journal","abstract":"Most genetic risk for psychiatric disease lies in regulatory regions, implicating pathogenic dysregulation of gene expression and splicing. However, comprehensive assessments of transcriptomic organization in diseased brains are limited. In this work, we integrated genotypes and RNA sequencing in brain samples from 1695 individuals with autism spectrum disorder (ASD), schizophrenia, and bipolar disorder, as well as controls. More than 25% of the transcriptome exhibits differential splicing or expression, with isoform-level changes capturing the largest disease effects and genetic enrichments. Coexpression networks isolate disease-specific neuronal alterations, as well as microglial, astrocyte, and interferon-response modules defining previously unidentified neural-immune mechanisms. We integrated genetic and genomic data to perform a transcriptome-wide association study, prioritizing disease loci likely mediated by cis effects on brain expression. This transcriptome-wide characterization of the molecular pathology across three major psychiatric disorders provides a comprehensive resource for mechanistic insight and therapeutic development.","container-title":"Science","DOI":"10.1126/science.aat8127","issue":"6420","note":"publisher: American Association for the Advancement of Science","page":"eaat8127","source":"science.org (Atypon)","title":"Transcriptome-wide isoform-level dysregulation in ASD, schizophrenia, and bipolar disorder","volume":"362","author":[{"family":"Gandal","given":"Michael J."},{"family":"Zhang","given":"Pan"},{"family":"Hadjimichael","given":"Evi"},{"family":"Walker","given":"Rebecca L."},{"family":"Chen","given":"Chao"},{"family":"Liu","given":"Shuang"},{"family":"Won","given":"Hyejung"},{"family":"Bakel","given":"Harm","non-dropping-particle":"van"},{"family":"Varghese","given":"Merina"},{"family":"Wang","given":"Yongjun"},{"family":"Shieh","given":"Annie W."},{"family":"Haney","given":"Jillian"},{"family":"Parhami","given":"Sepideh"},{"family":"Belmont","given":"Judson"},{"family":"Kim","given":"Minsoo"},{"family":"Moran Losada","given":"Patricia"},{"family":"Khan","given":"Zenab"},{"family":"Mleczko","given":"Justyna"},{"family":"Xia","given":"Yan"},{"family":"Dai","given":"Rujia"},{"family":"Wang","given":"Daifeng"},{"family":"Yang","given":"Yucheng T."},{"family":"Xu","given":"Min"},{"family":"Fish","given":"Kenneth"},{"family":"Hof","given":"Patrick R."},{"family":"Warrell","given":"Jonathan"},{"family":"Fitzgerald","given":"Dominic"},{"family":"White","given":"Kevin"},{"family":"Jaffe","given":"Andrew E."},{"literal":"PsychENCODE Consortium"},{"family":"Peters","given":"Mette A."},{"family":"Gerstein","given":"Mark"},{"family":"Liu","given":"Chunyu"},{"family":"Iakoucheva","given":"Lilia M."},{"family":"Pinto","given":"Dalila"},{"family":"Geschwind","given":"Daniel H."}],"issued":{"date-parts":[["2018",12,14]]}}}],"schema":"https://github.com/citation-style-language/schema/raw/master/csl-citation.json"} </w:instrText>
      </w:r>
      <w:r w:rsidR="00C8744F" w:rsidRPr="002C2F74">
        <w:rPr>
          <w:rFonts w:eastAsiaTheme="minorEastAsia" w:cs="Times New Roman"/>
        </w:rPr>
        <w:fldChar w:fldCharType="separate"/>
      </w:r>
      <w:r w:rsidR="00B54D73" w:rsidRPr="002C2F74">
        <w:rPr>
          <w:rFonts w:cs="Times New Roman"/>
        </w:rPr>
        <w:t>[1]</w:t>
      </w:r>
      <w:r w:rsidR="00C8744F" w:rsidRPr="002C2F74">
        <w:rPr>
          <w:rFonts w:eastAsiaTheme="minorEastAsia" w:cs="Times New Roman"/>
        </w:rPr>
        <w:fldChar w:fldCharType="end"/>
      </w:r>
      <w:r w:rsidR="00C8744F" w:rsidRPr="002C2F74">
        <w:rPr>
          <w:rFonts w:eastAsiaTheme="minorEastAsia" w:cs="Times New Roman"/>
        </w:rPr>
        <w:t xml:space="preserve">. </w:t>
      </w:r>
      <w:r w:rsidR="00982767" w:rsidRPr="002C2F74">
        <w:rPr>
          <w:rFonts w:eastAsiaTheme="minorEastAsia" w:cs="Times New Roman"/>
        </w:rPr>
        <w:t xml:space="preserve">Inspired by such studies, </w:t>
      </w:r>
      <w:r w:rsidR="006436DD" w:rsidRPr="002C2F74">
        <w:rPr>
          <w:rFonts w:eastAsiaTheme="minorEastAsia" w:cs="Times New Roman"/>
        </w:rPr>
        <w:t xml:space="preserve">we present </w:t>
      </w:r>
      <w:r w:rsidR="002B6A06" w:rsidRPr="002C2F74">
        <w:rPr>
          <w:rFonts w:eastAsiaTheme="minorEastAsia" w:cs="Times New Roman"/>
        </w:rPr>
        <w:t xml:space="preserve">here </w:t>
      </w:r>
      <w:r w:rsidR="00086898" w:rsidRPr="002C2F74">
        <w:rPr>
          <w:rFonts w:eastAsiaTheme="minorEastAsia" w:cs="Times New Roman"/>
        </w:rPr>
        <w:t xml:space="preserve">a computational framework for accurate identification of all expressed transcripts of protein genes, </w:t>
      </w:r>
      <w:r w:rsidR="002B6A06" w:rsidRPr="002C2F74">
        <w:rPr>
          <w:rFonts w:eastAsiaTheme="minorEastAsia" w:cs="Times New Roman"/>
        </w:rPr>
        <w:t xml:space="preserve">namely </w:t>
      </w:r>
      <w:r w:rsidR="00982767" w:rsidRPr="002C2F74">
        <w:rPr>
          <w:rFonts w:eastAsiaTheme="minorEastAsia" w:cs="Times New Roman"/>
        </w:rPr>
        <w:t>all identifiable</w:t>
      </w:r>
      <w:r w:rsidR="006A4295">
        <w:rPr>
          <w:rFonts w:eastAsiaTheme="minorEastAsia" w:cs="Times New Roman"/>
        </w:rPr>
        <w:t xml:space="preserve"> full-length and</w:t>
      </w:r>
      <w:r w:rsidR="00086898" w:rsidRPr="002C2F74">
        <w:rPr>
          <w:rFonts w:eastAsiaTheme="minorEastAsia" w:cs="Times New Roman"/>
        </w:rPr>
        <w:t xml:space="preserve"> splicing isoforms</w:t>
      </w:r>
      <w:r w:rsidR="005D47F8" w:rsidRPr="002C2F74">
        <w:rPr>
          <w:rFonts w:eastAsiaTheme="minorEastAsia" w:cs="Times New Roman"/>
        </w:rPr>
        <w:t>,</w:t>
      </w:r>
      <w:r w:rsidR="002B6A06" w:rsidRPr="002C2F74">
        <w:rPr>
          <w:rFonts w:eastAsiaTheme="minorEastAsia" w:cs="Times New Roman"/>
        </w:rPr>
        <w:t xml:space="preserve"> </w:t>
      </w:r>
      <w:r w:rsidR="00086898" w:rsidRPr="002C2F74">
        <w:rPr>
          <w:rFonts w:eastAsiaTheme="minorEastAsia" w:cs="Times New Roman"/>
        </w:rPr>
        <w:t xml:space="preserve">and </w:t>
      </w:r>
      <w:r w:rsidR="002B6A06" w:rsidRPr="002C2F74">
        <w:rPr>
          <w:rFonts w:eastAsiaTheme="minorEastAsia" w:cs="Times New Roman"/>
        </w:rPr>
        <w:t xml:space="preserve">of </w:t>
      </w:r>
      <w:r w:rsidR="00086898" w:rsidRPr="002C2F74">
        <w:rPr>
          <w:rFonts w:eastAsiaTheme="minorEastAsia" w:cs="Times New Roman"/>
        </w:rPr>
        <w:t xml:space="preserve">long non-coding RNA genes or </w:t>
      </w:r>
      <w:proofErr w:type="spellStart"/>
      <w:r w:rsidR="00086898" w:rsidRPr="002C2F74">
        <w:rPr>
          <w:rFonts w:eastAsiaTheme="minorEastAsia" w:cs="Times New Roman"/>
        </w:rPr>
        <w:t>lncRNAs</w:t>
      </w:r>
      <w:proofErr w:type="spellEnd"/>
      <w:r w:rsidR="00086898" w:rsidRPr="002C2F74">
        <w:rPr>
          <w:rFonts w:eastAsiaTheme="minorEastAsia" w:cs="Times New Roman"/>
        </w:rPr>
        <w:t xml:space="preserve">, and demonstrate how the splicing variants and </w:t>
      </w:r>
      <w:proofErr w:type="spellStart"/>
      <w:r w:rsidR="00086898" w:rsidRPr="002C2F74">
        <w:rPr>
          <w:rFonts w:eastAsiaTheme="minorEastAsia" w:cs="Times New Roman"/>
        </w:rPr>
        <w:t>lncRNAs</w:t>
      </w:r>
      <w:proofErr w:type="spellEnd"/>
      <w:r w:rsidR="00086898" w:rsidRPr="002C2F74">
        <w:rPr>
          <w:rFonts w:eastAsiaTheme="minorEastAsia" w:cs="Times New Roman"/>
        </w:rPr>
        <w:t xml:space="preserve"> </w:t>
      </w:r>
      <w:r w:rsidR="00982767" w:rsidRPr="002C2F74">
        <w:rPr>
          <w:rFonts w:eastAsiaTheme="minorEastAsia" w:cs="Times New Roman"/>
        </w:rPr>
        <w:t>c</w:t>
      </w:r>
      <w:r w:rsidR="002B6A06" w:rsidRPr="002C2F74">
        <w:rPr>
          <w:rFonts w:eastAsiaTheme="minorEastAsia" w:cs="Times New Roman"/>
        </w:rPr>
        <w:t>ould</w:t>
      </w:r>
      <w:r w:rsidR="00982767" w:rsidRPr="002C2F74">
        <w:rPr>
          <w:rFonts w:eastAsiaTheme="minorEastAsia" w:cs="Times New Roman"/>
        </w:rPr>
        <w:t xml:space="preserve"> </w:t>
      </w:r>
      <w:r w:rsidR="00086898" w:rsidRPr="002C2F74">
        <w:rPr>
          <w:rFonts w:eastAsiaTheme="minorEastAsia" w:cs="Times New Roman"/>
        </w:rPr>
        <w:t xml:space="preserve">add </w:t>
      </w:r>
      <w:r w:rsidR="006A4295">
        <w:rPr>
          <w:rFonts w:eastAsiaTheme="minorEastAsia" w:cs="Times New Roman"/>
        </w:rPr>
        <w:t xml:space="preserve">substantially </w:t>
      </w:r>
      <w:r w:rsidR="00086898" w:rsidRPr="002C2F74">
        <w:rPr>
          <w:rFonts w:eastAsiaTheme="minorEastAsia" w:cs="Times New Roman"/>
        </w:rPr>
        <w:t xml:space="preserve">to our </w:t>
      </w:r>
      <w:r w:rsidR="00982767" w:rsidRPr="002C2F74">
        <w:rPr>
          <w:rFonts w:eastAsiaTheme="minorEastAsia" w:cs="Times New Roman"/>
        </w:rPr>
        <w:t>understanding</w:t>
      </w:r>
      <w:r w:rsidR="00086898" w:rsidRPr="002C2F74">
        <w:rPr>
          <w:rFonts w:eastAsiaTheme="minorEastAsia" w:cs="Times New Roman"/>
        </w:rPr>
        <w:t xml:space="preserve"> of </w:t>
      </w:r>
      <w:r w:rsidR="006A4295">
        <w:rPr>
          <w:rFonts w:eastAsiaTheme="minorEastAsia" w:cs="Times New Roman"/>
        </w:rPr>
        <w:t xml:space="preserve">the </w:t>
      </w:r>
      <w:r w:rsidR="00086898" w:rsidRPr="002C2F74">
        <w:rPr>
          <w:rFonts w:eastAsiaTheme="minorEastAsia" w:cs="Times New Roman"/>
        </w:rPr>
        <w:t xml:space="preserve">disease </w:t>
      </w:r>
      <w:r w:rsidR="00982767" w:rsidRPr="002C2F74">
        <w:rPr>
          <w:rFonts w:eastAsiaTheme="minorEastAsia" w:cs="Times New Roman"/>
        </w:rPr>
        <w:t xml:space="preserve">drivers and </w:t>
      </w:r>
      <w:r w:rsidR="00086898" w:rsidRPr="002C2F74">
        <w:rPr>
          <w:rFonts w:eastAsiaTheme="minorEastAsia" w:cs="Times New Roman"/>
        </w:rPr>
        <w:t xml:space="preserve">development, </w:t>
      </w:r>
      <w:r w:rsidR="005D47F8" w:rsidRPr="002C2F74">
        <w:rPr>
          <w:rFonts w:eastAsiaTheme="minorEastAsia" w:cs="Times New Roman"/>
        </w:rPr>
        <w:t xml:space="preserve">for </w:t>
      </w:r>
      <w:r w:rsidR="005F45AF" w:rsidRPr="002C2F74">
        <w:rPr>
          <w:rFonts w:eastAsiaTheme="minorEastAsia" w:cs="Times New Roman"/>
        </w:rPr>
        <w:t>Alzheimer's disease (AD)</w:t>
      </w:r>
      <w:r w:rsidR="00086898" w:rsidRPr="002C2F74">
        <w:rPr>
          <w:rFonts w:eastAsiaTheme="minorEastAsia" w:cs="Times New Roman"/>
        </w:rPr>
        <w:t>.</w:t>
      </w:r>
    </w:p>
    <w:p w14:paraId="5FCA1FAA" w14:textId="3398B6CF" w:rsidR="00982767" w:rsidRPr="002C2F74" w:rsidRDefault="00086898" w:rsidP="00B04345">
      <w:pPr>
        <w:snapToGrid w:val="0"/>
        <w:spacing w:line="276" w:lineRule="auto"/>
        <w:ind w:firstLine="420"/>
        <w:rPr>
          <w:rFonts w:eastAsiaTheme="minorEastAsia" w:cs="Times New Roman"/>
        </w:rPr>
      </w:pPr>
      <w:r w:rsidRPr="002C2F74">
        <w:rPr>
          <w:rFonts w:eastAsiaTheme="minorEastAsia" w:cs="Times New Roman"/>
        </w:rPr>
        <w:t xml:space="preserve">AD </w:t>
      </w:r>
      <w:r w:rsidR="005F45AF" w:rsidRPr="002C2F74">
        <w:rPr>
          <w:rFonts w:eastAsiaTheme="minorEastAsia" w:cs="Times New Roman"/>
        </w:rPr>
        <w:t>is the most common form of dementia, characterized by progressive decline</w:t>
      </w:r>
      <w:r w:rsidR="00982767" w:rsidRPr="002C2F74">
        <w:rPr>
          <w:rFonts w:eastAsiaTheme="minorEastAsia" w:cs="Times New Roman"/>
        </w:rPr>
        <w:t xml:space="preserve"> </w:t>
      </w:r>
      <w:r w:rsidR="005D47F8" w:rsidRPr="002C2F74">
        <w:rPr>
          <w:rFonts w:eastAsiaTheme="minorEastAsia" w:cs="Times New Roman"/>
        </w:rPr>
        <w:t xml:space="preserve">of the cognitive capability </w:t>
      </w:r>
      <w:r w:rsidR="00982767" w:rsidRPr="002C2F74">
        <w:rPr>
          <w:rFonts w:eastAsiaTheme="minorEastAsia" w:cs="Times New Roman"/>
        </w:rPr>
        <w:t xml:space="preserve">as </w:t>
      </w:r>
      <w:r w:rsidR="005D47F8" w:rsidRPr="002C2F74">
        <w:rPr>
          <w:rFonts w:eastAsiaTheme="minorEastAsia" w:cs="Times New Roman"/>
        </w:rPr>
        <w:t xml:space="preserve">a </w:t>
      </w:r>
      <w:r w:rsidR="00982767" w:rsidRPr="002C2F74">
        <w:rPr>
          <w:rFonts w:eastAsiaTheme="minorEastAsia" w:cs="Times New Roman"/>
        </w:rPr>
        <w:t>result of massive neuronal cell death</w:t>
      </w:r>
      <w:r w:rsidR="005F45AF" w:rsidRPr="002C2F74">
        <w:rPr>
          <w:rFonts w:eastAsiaTheme="minorEastAsia" w:cs="Times New Roman"/>
        </w:rPr>
        <w:t xml:space="preserve">, with no effective treatment currently available </w:t>
      </w:r>
      <w:r w:rsidR="005F45AF" w:rsidRPr="002C2F74">
        <w:rPr>
          <w:rFonts w:eastAsiaTheme="minorEastAsia" w:cs="Times New Roman"/>
        </w:rPr>
        <w:fldChar w:fldCharType="begin"/>
      </w:r>
      <w:r w:rsidR="0004572E" w:rsidRPr="002C2F74">
        <w:rPr>
          <w:rFonts w:eastAsiaTheme="minorEastAsia" w:cs="Times New Roman"/>
        </w:rPr>
        <w:instrText xml:space="preserve"> ADDIN ZOTERO_ITEM CSL_CITATION {"citationID":"CEvCshbe","properties":{"formattedCitation":"[2]","plainCitation":"[2]","noteIndex":0},"citationItems":[{"id":7004,"uris":["http://zotero.org/users/5158171/items/VJ8QD5XM"],"itemData":{"id":7004,"type":"article-journal","abstract":"Alzheimer’s disease (AD) is a major healthcare challenge with no curative treatment at present. To address this challenge, we need a paradigm shift, where we focus on pre-dementia stages of AD. In this Perspective, we outline a strategy to move towards a future with personalized medicine for AD by preparing for and investing in effective and patient-orchestrated diagnosis, prediction and prevention of the dementia stage. While focusing on AD, this Perspective also discusses studies that do not specify the cause of dementia. Future personalized prevention strategies encompass multiple components, including tailored combinations of disease-modifying interventions and lifestyle. By empowering the public and patients to be more actively engaged in the management of their health and disease and by developing improved strategies for diagnosis, prediction and prevention, we can pave the way for a future with personalized medicine, in which AD pathology is stopped to prevent or delay the onset of dementia.","container-title":"Nature Aging","DOI":"10.1038/s43587-023-00404-2","ISSN":"2662-8465","issue":"5","journalAbbreviation":"Nat Aging","language":"en","license":"2023 Springer Nature America, Inc.","note":"publisher: Nature Publishing Group","page":"494-505","source":"www.nature.com","title":"Towards a future where Alzheimer’s disease pathology is stopped before the onset of dementia","volume":"3","author":[{"family":"Flier","given":"Wiesje M.","non-dropping-particle":"van der"},{"family":"Vugt","given":"Marjolein E.","non-dropping-particle":"de"},{"family":"Smets","given":"Ellen M. A."},{"family":"Blom","given":"Marco"},{"family":"Teunissen","given":"Charlotte E."}],"issued":{"date-parts":[["2023",5]]}}}],"schema":"https://github.com/citation-style-language/schema/raw/master/csl-citation.json"} </w:instrText>
      </w:r>
      <w:r w:rsidR="005F45AF" w:rsidRPr="002C2F74">
        <w:rPr>
          <w:rFonts w:eastAsiaTheme="minorEastAsia" w:cs="Times New Roman"/>
        </w:rPr>
        <w:fldChar w:fldCharType="separate"/>
      </w:r>
      <w:r w:rsidR="00B54D73" w:rsidRPr="002C2F74">
        <w:rPr>
          <w:rFonts w:cs="Times New Roman"/>
        </w:rPr>
        <w:t>[2]</w:t>
      </w:r>
      <w:r w:rsidR="005F45AF" w:rsidRPr="002C2F74">
        <w:rPr>
          <w:rFonts w:eastAsiaTheme="minorEastAsia" w:cs="Times New Roman"/>
        </w:rPr>
        <w:fldChar w:fldCharType="end"/>
      </w:r>
      <w:r w:rsidR="005F45AF" w:rsidRPr="002C2F74">
        <w:rPr>
          <w:rFonts w:eastAsiaTheme="minorEastAsia" w:cs="Times New Roman"/>
        </w:rPr>
        <w:t xml:space="preserve">. </w:t>
      </w:r>
      <w:r w:rsidRPr="002C2F74">
        <w:rPr>
          <w:rFonts w:eastAsiaTheme="minorEastAsia" w:cs="Times New Roman"/>
        </w:rPr>
        <w:t>While</w:t>
      </w:r>
      <w:r w:rsidR="005F45AF" w:rsidRPr="002C2F74">
        <w:rPr>
          <w:rFonts w:eastAsiaTheme="minorEastAsia" w:cs="Times New Roman"/>
        </w:rPr>
        <w:t xml:space="preserve"> RNA sequencing (RNAseq) data have been generated from postmortem brain samples of both healthy individuals and those with AD </w:t>
      </w:r>
      <w:r w:rsidR="00632F42" w:rsidRPr="002C2F74">
        <w:rPr>
          <w:rFonts w:eastAsiaTheme="minorEastAsia" w:cs="Times New Roman"/>
        </w:rPr>
        <w:fldChar w:fldCharType="begin"/>
      </w:r>
      <w:r w:rsidR="00056668" w:rsidRPr="002C2F74">
        <w:rPr>
          <w:rFonts w:eastAsiaTheme="minorEastAsia" w:cs="Times New Roman"/>
        </w:rPr>
        <w:instrText xml:space="preserve"> ADDIN ZOTERO_ITEM CSL_CITATION {"citationID":"tyReaukK","properties":{"formattedCitation":"[3], [4], [5]","plainCitation":"[3], [4], [5]","dontUpdate":true,"noteIndex":0},"citationItems":[{"id":4876,"uris":["http://zotero.org/users/5158171/items/3APBNG3C"],"itemData":{"id":4876,"type":"article-journal","abstract":"Background:\nThe Religious Orders Study and Rush Memory and Aging Project are both ongoing longitudinal clinical-pathologic cohort studies of aging and Alzheimer’s disease (AD).\n\nObjectives:\nTo summarize progress over the past five years and its implications for understanding neurodegenerative diseases.\n\nMethods:\nParticipants in both studies are older adults who enroll without dementia and agree to detailed longitudinal clinical evaluations and organ donation. The last review summarized findings through the end of 2011. Here we summarize progress and study findings over the past five years, and discuss new directions for how these studies can inform on aging and AD in the future.\n\nResults:\nWe summarize 1) findings on the relation of neurobiology to clinical AD; 2) neurobiologic pathways linking risk factors to clinical AD; 3) non-cognitive AD phenotypes including motor function and decision making; 4) the development of a novel drug discovery platform.\n\nConclusion:\nComplexity at multiple levels needs to be understood and overcome to develop effective treatments and preventions for cognitive decline and AD dementia.","container-title":"Journal of Alzheimer's disease : JAD","DOI":"10.3233/JAD-179939","ISSN":"1387-2877","issue":"Suppl 1","journalAbbreviation":"J Alzheimers Dis","note":"PMID: 29865057\nPMCID: PMC6380522","page":"S161-S189","source":"PubMed Central","title":"Religious Orders Study and Rush Memory and Aging Project","volume":"64","author":[{"family":"Bennett","given":"David A."},{"family":"Buchman","given":"Aron S."},{"family":"Boyle","given":"Patricia A."},{"family":"Barnes","given":"Lisa L."},{"family":"Wilson","given":"Robert S."},{"family":"Schneider","given":"Julie A"}],"issued":{"date-parts":[["2018"]]}}},{"id":1220,"uris":["http://zotero.org/users/5158171/items/GT9Q8FJQ"],"itemData":{"id":1220,"type":"article-journal","abstract":"Alzheimer’s disease (AD) affects half the US population over the age of 85 and is universally fatal following an average course of 10 years of progressive cognitive disability. Genetic and genome-wide association studies (GWAS) have identified about 33 risk factor genes for common, late-onset AD (LOAD), but these risk loci fail to account for the majority of affected cases and can neither provide clinically meaningful prediction of development of AD nor offer actionable mechanisms. This cohort study generated large-scale matched multi-Omics data in AD and control brains for exploring novel molecular underpinnings of AD. Specifically, we generated whole genome sequencing, whole exome sequencing, transcriptome sequencing and proteome profiling data from multiple regions of 364 postmortem control, mild cognitive impaired (MCI) and AD brains with rich clinical and pathophysiological data. All the data went through rigorous quality control. Both the raw and processed data are publicly available through the Synapse software platform.","container-title":"Scientific Data","DOI":"10.1038/sdata.2018</w:instrText>
      </w:r>
      <w:r w:rsidR="00056668" w:rsidRPr="002C2F74">
        <w:rPr>
          <w:rFonts w:eastAsiaTheme="minorEastAsia" w:cs="Times New Roman" w:hint="eastAsia"/>
        </w:rPr>
        <w:instrText>.185","ISSN":"2052-4463","issue":"1","language":"en","license":"2018 The Author(s)","note":"</w:instrText>
      </w:r>
      <w:r w:rsidR="00056668" w:rsidRPr="002C2F74">
        <w:rPr>
          <w:rFonts w:eastAsiaTheme="minorEastAsia" w:cs="Times New Roman" w:hint="eastAsia"/>
        </w:rPr>
        <w:instrText>对应文献</w:instrText>
      </w:r>
      <w:r w:rsidR="00056668" w:rsidRPr="002C2F74">
        <w:rPr>
          <w:rFonts w:eastAsiaTheme="minorEastAsia" w:cs="Times New Roman" w:hint="eastAsia"/>
        </w:rPr>
        <w:instrText>","page":"180185","source":"www.nature.com","title":"The Mount Sinai cohort of large-scale genomic, transcriptomic and proteomic data in Alzheimer's disease","</w:instrText>
      </w:r>
      <w:r w:rsidR="00056668" w:rsidRPr="002C2F74">
        <w:rPr>
          <w:rFonts w:eastAsiaTheme="minorEastAsia" w:cs="Times New Roman"/>
        </w:rPr>
        <w:instrText xml:space="preserve">volume":"5","author":[{"family":"Wang","given":"Minghui"},{"family":"Beckmann","given":"Noam D."},{"family":"Roussos","given":"Panos"},{"family":"Wang","given":"Erming"},{"family":"Zhou","given":"Xianxiao"},{"family":"Wang","given":"Qian"},{"family":"Ming","given":"Chen"},{"family":"Neff","given":"Ryan"},{"family":"Ma","given":"Weiping"},{"family":"Fullard","given":"John F."},{"family":"Hauberg","given":"Mads E."},{"family":"Bendl","given":"Jaroslav"},{"family":"Peters","given":"Mette A."},{"family":"Logsdon","given":"Ben"},{"family":"Wang","given":"Pei"},{"family":"Mahajan","given":"Milind"},{"family":"Mangravite","given":"Lara M."},{"family":"Dammer","given":"Eric B."},{"family":"Duong","given":"Duc M."},{"family":"Lah","given":"James J."},{"family":"Seyfried","given":"Nicholas T."},{"family":"Levey","given":"Allan I."},{"family":"Buxbaum","given":"Joseph D."},{"family":"Ehrlich","given":"Michelle"},{"family":"Gandy","given":"Sam"},{"family":"Katsel","given":"Pavel"},{"family":"Haroutunian","given":"Vahram"},{"family":"Schadt","given":"Eric"},{"family":"Zhang","given":"Bin"}],"issued":{"date-parts":[["2018",9,11]]}}},{"id":7003,"uris":["http://zotero.org/users/5158171/items/4JFBREBN"],"itemData":{"id":7003,"type":"article-journal","abstract":"Microglia, the CNS-resident immune cells, play important roles in disease, but the spectrum of their possible activation states is not well understood. We derived co-regulated gene modules from transcriptional profiles of CNS myeloid cells of diverse mouse models, including new tauopathy model datasets. Using these modules to interpret single-cell data from an Alzheimer's disease (AD) model, we identified microglial subsets-distinct from previously reported \"disease-associated microglia\"-expressing interferon-related or proliferation modules. We then analyzed whole-tissue RNA profiles from human neurodegenerative diseases, including a new AD dataset. Correcting for altered cellular composition of AD tissue, we observed elevated expression of the neurodegeneration-related modules, but also modules not implicated using expression profiles from mouse models alone. We provide a searchable, interactive database for exploring gene expression in all these datasets (http://research-pub.gene.com/BrainMyeloidLandscape). Understanding the dimensions of CNS myeloid cell activation in human disease may reveal opportunities for therapeutic intervention.","container-title":"Cell Reports","DOI":"10.1016/j.celrep.2017.12.066","ISSN":"2211-1247","issue":"3","journalAbbreviation":"Cell Rep","language":"eng","note":"PMID: 29346778","page":"832-847","source":"PubMed","title":"Diverse Brain Myeloid Expression Profiles Reveal Distinct Microglial Activation States and Aspects of Alzheimer's Disease Not Evident in Mouse Models","volume":"22","author":[{"family":"Friedman","given":"Brad A."},{"family":"Srinivasan","given":"Karpagam"},{"family":"Ayalon","given":"Gai"},{"family":"Meilandt","given":"William J."},{"family":"Lin","given":"Han"},{"family":"Huntley","given":"Melanie A."},{"family":"Cao","given":"Yi"},{"family":"Lee","given":"Seung-Hye"},{"family":"Haddick","given":"Patrick C. G."},{"family":"Ngu","given":"Hai"},{"family":"Modrusan","given":"Zora"},{"family":"Larson","given":"Jessica L."},{"family":"Kaminker","given":"Joshua S."},{"family":"Brug","given":"Marcel P.","non-dropping-particle":"van der"},{"family":"Hansen","given":"David V."}],"issued":{"date-parts":[["2018",1,16]]}}}],"schema":"https://github.com/citation-style-language/schema/raw/master/csl-citation.json"} </w:instrText>
      </w:r>
      <w:r w:rsidR="00632F42" w:rsidRPr="002C2F74">
        <w:rPr>
          <w:rFonts w:eastAsiaTheme="minorEastAsia" w:cs="Times New Roman"/>
        </w:rPr>
        <w:fldChar w:fldCharType="separate"/>
      </w:r>
      <w:r w:rsidR="00E66FF7" w:rsidRPr="002C2F74">
        <w:rPr>
          <w:rFonts w:cs="Times New Roman"/>
        </w:rPr>
        <w:t>[3, 4, 5]</w:t>
      </w:r>
      <w:r w:rsidR="00632F42" w:rsidRPr="002C2F74">
        <w:rPr>
          <w:rFonts w:eastAsiaTheme="minorEastAsia" w:cs="Times New Roman"/>
        </w:rPr>
        <w:fldChar w:fldCharType="end"/>
      </w:r>
      <w:r w:rsidRPr="002C2F74">
        <w:rPr>
          <w:rFonts w:eastAsiaTheme="minorEastAsia" w:cs="Times New Roman"/>
        </w:rPr>
        <w:t>,</w:t>
      </w:r>
      <w:r w:rsidR="005F45AF" w:rsidRPr="002C2F74">
        <w:rPr>
          <w:rFonts w:eastAsiaTheme="minorEastAsia" w:cs="Times New Roman"/>
        </w:rPr>
        <w:t xml:space="preserve"> </w:t>
      </w:r>
      <w:r w:rsidRPr="002C2F74">
        <w:rPr>
          <w:rFonts w:eastAsiaTheme="minorEastAsia" w:cs="Times New Roman"/>
        </w:rPr>
        <w:t>published studies</w:t>
      </w:r>
      <w:r w:rsidR="005D47F8" w:rsidRPr="002C2F74">
        <w:rPr>
          <w:rFonts w:eastAsiaTheme="minorEastAsia" w:cs="Times New Roman"/>
        </w:rPr>
        <w:t xml:space="preserve"> predominant</w:t>
      </w:r>
      <w:r w:rsidRPr="002C2F74">
        <w:rPr>
          <w:rFonts w:eastAsiaTheme="minorEastAsia" w:cs="Times New Roman"/>
        </w:rPr>
        <w:t xml:space="preserve">ly </w:t>
      </w:r>
      <w:r w:rsidR="005D47F8" w:rsidRPr="002C2F74">
        <w:rPr>
          <w:rFonts w:eastAsiaTheme="minorEastAsia" w:cs="Times New Roman"/>
        </w:rPr>
        <w:t xml:space="preserve">rely </w:t>
      </w:r>
      <w:r w:rsidRPr="002C2F74">
        <w:rPr>
          <w:rFonts w:eastAsiaTheme="minorEastAsia" w:cs="Times New Roman"/>
        </w:rPr>
        <w:t>on full-length transcripts of protein genes</w:t>
      </w:r>
      <w:r w:rsidR="00E66FF7" w:rsidRPr="002C2F74">
        <w:rPr>
          <w:rFonts w:eastAsiaTheme="minorEastAsia" w:cs="Times New Roman" w:hint="eastAsia"/>
        </w:rPr>
        <w:t xml:space="preserve"> </w:t>
      </w:r>
      <w:r w:rsidR="00E66FF7" w:rsidRPr="002C2F74">
        <w:rPr>
          <w:rFonts w:eastAsiaTheme="minorEastAsia" w:cs="Times New Roman"/>
        </w:rPr>
        <w:fldChar w:fldCharType="begin"/>
      </w:r>
      <w:r w:rsidR="00056668" w:rsidRPr="002C2F74">
        <w:rPr>
          <w:rFonts w:eastAsiaTheme="minorEastAsia" w:cs="Times New Roman"/>
        </w:rPr>
        <w:instrText xml:space="preserve"> ADDIN ZOTERO_ITEM CSL_CITATION {"citationID":"dTMZfwcY","properties":{"formattedCitation":"[4], [5], [6]","plainCitation":"[4], [5], [6]","dontUpdate":true,"noteIndex":0},"citationItems":[{"id":1220,"uris":["http://zotero.org/users/5158171/items/GT9Q8FJQ"],"itemData":{"id":1220,"type":"article-journal","abstract":"Alzheimer’s disease (AD) affects half the US population over the age of 85 and is universally fatal following an average course of 10 years of progressive cognitive disability. Genetic and genome-wide association studies (GWAS) have identified about 33 risk factor genes for common, late-onset AD (LOAD), but these risk loci fail to account for the majority of affected cases and can neither provide clinically meaningful prediction of development of AD nor offer actionable mechanisms. This cohort study generated large-scale matched multi-Omics data in AD and control brains for exploring novel molecular underpinnings of AD. Specifically, we generated whole genome sequencing, whole exome sequencing, transcriptome sequencing and proteome profiling data from multiple regions of 364 postmortem control, mild cognitive impaired (MCI) and AD brains with rich clinical and pathophysiological data. All the data went through rigorous quality control. Both the</w:instrText>
      </w:r>
      <w:r w:rsidR="00056668" w:rsidRPr="002C2F74">
        <w:rPr>
          <w:rFonts w:eastAsiaTheme="minorEastAsia" w:cs="Times New Roman" w:hint="eastAsia"/>
        </w:rPr>
        <w:instrText xml:space="preserve"> raw and processed data are publicly available through the Synapse software platform.","container-title":"Scientific Data","DOI":"10.1038/sdata.2018.185","ISSN":"2052-4463","issue":"1","language":"en","license":"2018 The Author(s)","note":"</w:instrText>
      </w:r>
      <w:r w:rsidR="00056668" w:rsidRPr="002C2F74">
        <w:rPr>
          <w:rFonts w:eastAsiaTheme="minorEastAsia" w:cs="Times New Roman" w:hint="eastAsia"/>
        </w:rPr>
        <w:instrText>对应文献</w:instrText>
      </w:r>
      <w:r w:rsidR="00056668" w:rsidRPr="002C2F74">
        <w:rPr>
          <w:rFonts w:eastAsiaTheme="minorEastAsia" w:cs="Times New Roman" w:hint="eastAsia"/>
        </w:rPr>
        <w:instrText>","page":"1</w:instrText>
      </w:r>
      <w:r w:rsidR="00056668" w:rsidRPr="002C2F74">
        <w:rPr>
          <w:rFonts w:eastAsiaTheme="minorEastAsia" w:cs="Times New Roman"/>
        </w:rPr>
        <w:instrText xml:space="preserve">80185","source":"www.nature.com","title":"The Mount Sinai cohort of large-scale genomic, transcriptomic and proteomic data in Alzheimer's disease","volume":"5","author":[{"family":"Wang","given":"Minghui"},{"family":"Beckmann","given":"Noam D."},{"family":"Roussos","given":"Panos"},{"family":"Wang","given":"Erming"},{"family":"Zhou","given":"Xianxiao"},{"family":"Wang","given":"Qian"},{"family":"Ming","given":"Chen"},{"family":"Neff","given":"Ryan"},{"family":"Ma","given":"Weiping"},{"family":"Fullard","given":"John F."},{"family":"Hauberg","given":"Mads E."},{"family":"Bendl","given":"Jaroslav"},{"family":"Peters","given":"Mette A."},{"family":"Logsdon","given":"Ben"},{"family":"Wang","given":"Pei"},{"family":"Mahajan","given":"Milind"},{"family":"Mangravite","given":"Lara M."},{"family":"Dammer","given":"Eric B."},{"family":"Duong","given":"Duc M."},{"family":"Lah","given":"James J."},{"family":"Seyfried","given":"Nicholas T."},{"family":"Levey","given":"Allan I."},{"family":"Buxbaum","given":"Joseph D."},{"family":"Ehrlich","given":"Michelle"},{"family":"Gandy","given":"Sam"},{"family":"Katsel","given":"Pavel"},{"family":"Haroutunian","given":"Vahram"},{"family":"Schadt","given":"Eric"},{"family":"Zhang","given":"Bin"}],"issued":{"date-parts":[["2018",9,11]]}}},{"id":7003,"uris":["http://zotero.org/users/5158171/items/4JFBREBN"],"itemData":{"id":7003,"type":"article-journal","abstract":"Microglia, the CNS-resident immune cells, play important roles in disease, but the spectrum of their possible activation states is not well understood. We derived co-regulated gene modules from transcriptional profiles of CNS myeloid cells of diverse mouse models, including new tauopathy model datasets. Using these modules to interpret single-cell data from an Alzheimer's disease (AD) model, we identified microglial subsets-distinct from previously reported \"disease-associated microglia\"-expressing interferon-related or proliferation modules. We then analyzed whole-tissue RNA profiles from human neurodegenerative diseases, including a new AD dataset. Correcting for altered cellular composition of AD tissue, we observed elevated expression of the neurodegeneration-related modules, but also modules not implicated using expression profiles from mouse models alone. We provide a searchable, interactive database for exploring gene expression in all these datasets (http://research-pub.gene.com/BrainMyeloidLandscape). Understanding the dimensions of CNS myeloid cell activation in human disease may reveal opportunities for therapeutic intervention.","container-title":"Cell Reports","DOI":"10.1016/j.celrep.2017.12.066","ISSN":"2211-1247","issue":"3","journalAbbreviation":"Cell Rep","language":"eng","note":"PMID: 29346778","page":"832-847","source":"PubMed","title":"Diverse Brain Myeloid Expression Profiles Reveal Distinct Microglial Activation States and Aspects of Alzheimer's Disease Not Evident in Mouse Models","volume":"22","author":[{"family":"Friedman","given":"Brad A."},{"family":"Srinivasan","given":"Karpagam"},{"family":"Ayalon","given":"Gai"},{"family":"Meilandt","given":"William J."},{"family":"Lin","given":"Han"},{"family":"Huntley","given":"Melanie A."},{"family":"Cao","given":"Yi"},{"family":"Lee","given":"Seung-Hye"},{"family":"Haddick","given":"Patrick C. G."},{"family":"Ngu","given":"Hai"},{"family":"Modrusan","given":"Zora"},{"family":"Larson","given":"Jessica L."},{"family":"Kaminker","given":"Joshua S."},{"family":"Brug","given":"Marcel P.","non-dropping-particle":"van der"},{"family":"Hansen","given":"David V."}],"issued":{"date-parts":[["2018",1,16]]}}},{"id":6992,"uris":["http://zotero.org/users/5158171/items/8MLI2AEU"],"itemData":{"id":6992,"type":"article-journal","abstract":"&lt;p&gt;The Religious Order Study and Memory and Aging Project (ROSMAP) is an initiative that integrates two longitudinal cohort studies, which have been collecting clinicopathological and molecular data since the early 1990s. This extensive dataset includes a wide array of omic data, revealing the complex interactions between molecular levels in neurodegenerative diseases (ND) and aging. Neurodegenerative diseases (ND) are frequently associated with morbidity and cognitive decline in older adults. Omics research, in conjunction with clinical variables, is crucial for advancing our understanding of the diagnosis and treatment of neurodegenerative diseases. This summary reviews the extensive omics research—encompassing genomics, transcriptomics, proteomics, metabolomics, epigenomics, and multiomics—conducted through the ROSMAP study. It highlights the significant advancements in understanding the mechanisms underlying neurodegenerative diseases, with a particular focus on Alzheimer's disease.&lt;/p&gt;","container-title":"Frontiers in Neuroinformatics","DOI":"10.3389/fninf.2024.1443865","ISSN":"1662-5196","journalAbbreviation":"Front. Neuroinform.","language":"English","note":"publisher: Frontiers","source":"Frontiers","title":"The ROSMAP project: aging and neurodegenerative diseases through omic sciences","title-short":"The ROSMAP project","URL":"https://www.frontiersin.org/journals/neuroinformatics/articles/10.3389/fninf.2024.1443865/full","volume":"18","author":[{"family":"Pérez-González","given":"Alejandra P."},{"family":"García-Kroepfly","given":"Aidee Lashmi"},{"family":"Pérez-Fuentes","given":"Keila Adonai"},{"family":"García-Reyes","given":"Roberto Isaac"},{"family":"Solis-Roldan","given":"Fryda Fernanda"},{"family":"Alba-González","given":"Jennifer Alejandra"},{"family":"Hernández-Lemus","given":"Enrique"},{"family":"Anda-Jáuregui","given":"Guillermo","non-dropping-particle":"de"}],"accessed":{"date-parts":[["2024",10,6]]},"issued":{"date-parts":[["2024",9,16]]}}}],"schema":"https://github.com/citation-style-language/schema/raw/master/csl-citation.json"} </w:instrText>
      </w:r>
      <w:r w:rsidR="00E66FF7" w:rsidRPr="002C2F74">
        <w:rPr>
          <w:rFonts w:eastAsiaTheme="minorEastAsia" w:cs="Times New Roman"/>
        </w:rPr>
        <w:fldChar w:fldCharType="separate"/>
      </w:r>
      <w:r w:rsidR="00E66FF7" w:rsidRPr="002C2F74">
        <w:rPr>
          <w:rFonts w:cs="Times New Roman"/>
        </w:rPr>
        <w:t>[4, 5, 6]</w:t>
      </w:r>
      <w:r w:rsidR="00E66FF7" w:rsidRPr="002C2F74">
        <w:rPr>
          <w:rFonts w:eastAsiaTheme="minorEastAsia" w:cs="Times New Roman"/>
        </w:rPr>
        <w:fldChar w:fldCharType="end"/>
      </w:r>
      <w:r w:rsidRPr="002C2F74">
        <w:rPr>
          <w:rFonts w:eastAsiaTheme="minorEastAsia" w:cs="Times New Roman"/>
        </w:rPr>
        <w:t>.</w:t>
      </w:r>
      <w:r w:rsidR="005F45AF" w:rsidRPr="002C2F74">
        <w:rPr>
          <w:rFonts w:eastAsiaTheme="minorEastAsia" w:cs="Times New Roman"/>
        </w:rPr>
        <w:t xml:space="preserve"> </w:t>
      </w:r>
      <w:r w:rsidR="005E4C93" w:rsidRPr="002C2F74">
        <w:rPr>
          <w:rFonts w:eastAsiaTheme="minorEastAsia" w:cs="Times New Roman"/>
        </w:rPr>
        <w:t>Similar to the aforementioned studies on other diseases, some recent work</w:t>
      </w:r>
      <w:r w:rsidR="002748BD" w:rsidRPr="002C2F74">
        <w:rPr>
          <w:rFonts w:eastAsiaTheme="minorEastAsia" w:cs="Times New Roman"/>
        </w:rPr>
        <w:t>s</w:t>
      </w:r>
      <w:r w:rsidR="005E4C93" w:rsidRPr="002C2F74">
        <w:rPr>
          <w:rFonts w:eastAsiaTheme="minorEastAsia" w:cs="Times New Roman"/>
        </w:rPr>
        <w:t xml:space="preserve"> on</w:t>
      </w:r>
      <w:r w:rsidR="00982767" w:rsidRPr="002C2F74">
        <w:rPr>
          <w:rFonts w:eastAsiaTheme="minorEastAsia" w:cs="Times New Roman"/>
        </w:rPr>
        <w:t xml:space="preserve"> AD and </w:t>
      </w:r>
      <w:r w:rsidR="005D47F8" w:rsidRPr="002C2F74">
        <w:rPr>
          <w:rFonts w:eastAsiaTheme="minorEastAsia" w:cs="Times New Roman"/>
        </w:rPr>
        <w:t xml:space="preserve">pre-AD </w:t>
      </w:r>
      <w:r w:rsidR="005E4C93" w:rsidRPr="002C2F74">
        <w:rPr>
          <w:rFonts w:eastAsiaTheme="minorEastAsia" w:cs="Times New Roman"/>
        </w:rPr>
        <w:t>MCI (m</w:t>
      </w:r>
      <w:r w:rsidR="00982767" w:rsidRPr="002C2F74">
        <w:rPr>
          <w:rFonts w:eastAsiaTheme="minorEastAsia" w:cs="Times New Roman"/>
        </w:rPr>
        <w:t xml:space="preserve">ild </w:t>
      </w:r>
      <w:r w:rsidR="005E4C93" w:rsidRPr="002C2F74">
        <w:rPr>
          <w:rFonts w:eastAsiaTheme="minorEastAsia" w:cs="Times New Roman"/>
        </w:rPr>
        <w:t>c</w:t>
      </w:r>
      <w:r w:rsidR="00982767" w:rsidRPr="002C2F74">
        <w:rPr>
          <w:rFonts w:eastAsiaTheme="minorEastAsia" w:cs="Times New Roman"/>
        </w:rPr>
        <w:t xml:space="preserve">ognitive </w:t>
      </w:r>
      <w:r w:rsidR="005E4C93" w:rsidRPr="002C2F74">
        <w:rPr>
          <w:rFonts w:eastAsiaTheme="minorEastAsia" w:cs="Times New Roman"/>
        </w:rPr>
        <w:t>i</w:t>
      </w:r>
      <w:r w:rsidR="00982767" w:rsidRPr="002C2F74">
        <w:rPr>
          <w:rFonts w:eastAsiaTheme="minorEastAsia" w:cs="Times New Roman"/>
        </w:rPr>
        <w:t xml:space="preserve">mpairment) </w:t>
      </w:r>
      <w:r w:rsidR="002748BD" w:rsidRPr="002C2F74">
        <w:rPr>
          <w:rFonts w:eastAsiaTheme="minorEastAsia" w:cs="Times New Roman"/>
        </w:rPr>
        <w:t xml:space="preserve">have shown that </w:t>
      </w:r>
      <w:r w:rsidR="00B04345" w:rsidRPr="002C2F74">
        <w:rPr>
          <w:rFonts w:eastAsiaTheme="minorEastAsia" w:cs="Times New Roman"/>
        </w:rPr>
        <w:t xml:space="preserve">inclusion of </w:t>
      </w:r>
      <w:proofErr w:type="spellStart"/>
      <w:r w:rsidR="00B04345" w:rsidRPr="002C2F74">
        <w:rPr>
          <w:rFonts w:eastAsiaTheme="minorEastAsia" w:cs="Times New Roman"/>
        </w:rPr>
        <w:lastRenderedPageBreak/>
        <w:t>lncRNAs</w:t>
      </w:r>
      <w:proofErr w:type="spellEnd"/>
      <w:r w:rsidR="00B04345" w:rsidRPr="002C2F74">
        <w:rPr>
          <w:rFonts w:eastAsiaTheme="minorEastAsia" w:cs="Times New Roman"/>
        </w:rPr>
        <w:t xml:space="preserve"> and splicing variants</w:t>
      </w:r>
      <w:r w:rsidR="00982767" w:rsidRPr="002C2F74">
        <w:rPr>
          <w:rFonts w:eastAsiaTheme="minorEastAsia" w:cs="Times New Roman"/>
        </w:rPr>
        <w:t xml:space="preserve"> </w:t>
      </w:r>
      <w:r w:rsidR="00E433AE" w:rsidRPr="002C2F74">
        <w:rPr>
          <w:rFonts w:eastAsiaTheme="minorEastAsia" w:cs="Times New Roman"/>
        </w:rPr>
        <w:t xml:space="preserve">in </w:t>
      </w:r>
      <w:r w:rsidR="005D47F8" w:rsidRPr="002C2F74">
        <w:rPr>
          <w:rFonts w:eastAsiaTheme="minorEastAsia" w:cs="Times New Roman"/>
        </w:rPr>
        <w:t>AD</w:t>
      </w:r>
      <w:r w:rsidR="00E433AE" w:rsidRPr="002C2F74">
        <w:rPr>
          <w:rFonts w:eastAsiaTheme="minorEastAsia" w:cs="Times New Roman"/>
        </w:rPr>
        <w:t xml:space="preserve"> studies </w:t>
      </w:r>
      <w:r w:rsidR="00B04345" w:rsidRPr="002C2F74">
        <w:rPr>
          <w:rFonts w:eastAsiaTheme="minorEastAsia" w:cs="Times New Roman"/>
        </w:rPr>
        <w:t xml:space="preserve">can </w:t>
      </w:r>
      <w:r w:rsidR="00E433AE" w:rsidRPr="002C2F74">
        <w:rPr>
          <w:rFonts w:eastAsiaTheme="minorEastAsia" w:cs="Times New Roman"/>
        </w:rPr>
        <w:t xml:space="preserve">considerably </w:t>
      </w:r>
      <w:r w:rsidR="00B04345" w:rsidRPr="002C2F74">
        <w:rPr>
          <w:rFonts w:eastAsiaTheme="minorEastAsia" w:cs="Times New Roman"/>
        </w:rPr>
        <w:t xml:space="preserve">improve the level of understanding </w:t>
      </w:r>
      <w:r w:rsidR="00E433AE" w:rsidRPr="002C2F74">
        <w:rPr>
          <w:rFonts w:eastAsiaTheme="minorEastAsia" w:cs="Times New Roman"/>
        </w:rPr>
        <w:t xml:space="preserve">about the disease </w:t>
      </w:r>
      <w:r w:rsidR="00335DFE" w:rsidRPr="002C2F74">
        <w:rPr>
          <w:rFonts w:eastAsiaTheme="minorEastAsia" w:cs="Times New Roman"/>
        </w:rPr>
        <w:t>biology</w:t>
      </w:r>
      <w:r w:rsidR="00E433AE" w:rsidRPr="002C2F74">
        <w:rPr>
          <w:rFonts w:eastAsiaTheme="minorEastAsia" w:cs="Times New Roman"/>
        </w:rPr>
        <w:t xml:space="preserve"> </w:t>
      </w:r>
      <w:r w:rsidR="00982767" w:rsidRPr="002C2F74">
        <w:rPr>
          <w:rFonts w:eastAsiaTheme="minorEastAsia" w:cs="Times New Roman"/>
        </w:rPr>
        <w:fldChar w:fldCharType="begin"/>
      </w:r>
      <w:r w:rsidR="00056668" w:rsidRPr="002C2F74">
        <w:rPr>
          <w:rFonts w:eastAsiaTheme="minorEastAsia" w:cs="Times New Roman"/>
        </w:rPr>
        <w:instrText xml:space="preserve"> ADDIN ZOTERO_ITEM CSL_CITATION {"citationID":"dX5BH0CE","properties":{"formattedCitation":"[7], [8], [9]","plainCitation":"[7], [8], [9]","dontUpdate":true,"noteIndex":0},"citationItems":[{"id":6972,"uris":["http://zotero.org/users/5158171/items/PHRK2AHJ"],"itemData":{"id":6972,"type":"article-journal","abstract":"Alzheimer’s disease (AD) is the leading cause of dementia in aging individuals. Yet, the pathophysiological processes involved in AD onset and progression are still poorly understood. Among numerous strategies, a comprehensive overview of gene expression alterations in the diseased brain could contribute for a better understanding of the AD pathology. In this work, we probed the differential expression of genes in different brain regions of healthy and AD adult subjects using data from three large transcriptomic studies: Mayo Clinic, Mount Sinai Brain Bank (MSBB), and ROSMAP. Using a combination of differential expression of gene and isoform switch analyses, we provide a detailed landscape of gene expression alterations in the temporal and frontal lobes, harboring brain areas affected at early and late stages of the AD pathology, respectively. Next, we took advantage of an indirect approach to assign the complex gene expression changes revealed in bulk RNAseq to individual cell types/subtypes of the adult brain. This strategy allowed us to identify previously overlooked gene expression changes in the brain of AD patients. Among these alterations, we show isoform switches in the AD causal gene amyloid-beta precursor protein (APP) and the risk gene bridging integrator 1 (BIN1), which could have important functional consequences in neuronal cells. Altogether, our work proposes a novel integrative strategy to analyze RNAseq data in AD and other neurodegenerative diseases based on both gene/transcript expression and regional/cell-type specificities.","container-title":"npj Aging and Mechanisms of Disease","DOI":"10.1038/s41514-020-00052-5","ISSN":"2056-3973","issue":"1","journalAbbreviation":"npj Aging Mech Dis","language":"en","license":"2021 The Author(s)","note":"publisher: Nature Publishing Group","page":"1-15","source":"www.nature.com","title":"Differential transcript usage unravels gene expression alterations in Alzheimer’s disease human brains","volume":"7","author":[{"family":"Marques-Coelho","given":"Diego"},{"family":"Iohan","given":"Lukas da Cruz Carvalho"},{"family":"Melo de Farias","given":"Ana Raquel"},{"family":"Flaig","given":"Amandine"},{"family":"Lambert","given":"Jean-Charles"},{"family":"Costa","given":"Marcos Romualdo"}],"issued":{"date-parts":[["2021",1,4]]}}},{"id":7001,"uris":["http://zotero.org/users/5158171/items/SWRJS8RM"],"itemData":{"id":7001,"type":"article-journal","abstract":"&lt;sec&gt;&lt;title&gt;Background&lt;/title&gt;&lt;p&gt;Alzheimer</w:instrText>
      </w:r>
      <w:r w:rsidR="00056668" w:rsidRPr="002C2F74">
        <w:rPr>
          <w:rFonts w:eastAsiaTheme="minorEastAsia" w:cs="Times New Roman" w:hint="eastAsia"/>
        </w:rPr>
        <w:instrText>’</w:instrText>
      </w:r>
      <w:r w:rsidR="00056668" w:rsidRPr="002C2F74">
        <w:rPr>
          <w:rFonts w:eastAsiaTheme="minorEastAsia" w:cs="Times New Roman"/>
        </w:rPr>
        <w:instrText xml:space="preserve">s disease (AD) is a common neurodegenerative disorder that has a multi-step disease progression. Differences between moderate and advanced stages of AD have not yet been fully characterized.&lt;/p&gt;&lt;/sec&gt;&lt;sec&gt;&lt;title&gt;Materials and methods&lt;/title&gt;&lt;p&gt;Herein, we performed a transcript-resolution analysis in 454 AD-related samples, including 145 non-demented control, 140 asymptomatic AD (AsymAD), and 169 AD samples. We comparatively characterized the transcriptome dysregulation in AsymAD and AD samples at transcript level.&lt;/p&gt;&lt;/sec&gt;&lt;sec&gt;&lt;title&gt;Results&lt;/title&gt;&lt;p&gt;We identified 4,056 and 1,200 differentially spliced alternative splicing events (ASEs) that might play roles in the disease progression of AsymAD and AD, respectively. Our further analysis revealed 287 and 222 isoform switching events in AsymAD and AD, respectively. In particular, a total of 163 and 119 transcripts showed increased usage, while 124 and 103 transcripts exhibited decreased usage in AsymAD and AD, respectively. For example, gene &lt;italic&gt;APOA2&lt;/italic&gt; showed no expression changes between AD and non-demented control samples, but expressed higher proportion of transcript &lt;italic&gt;ENST00000367990.3&lt;/italic&gt; and lower proportion of transcript &lt;italic&gt;ENST00000463812.1&lt;/italic&gt; in AD compared to non-demented control samples. Furthermore, we constructed RNA binding protein (RBP)-ASE regulatory networks to reveal potential RBP-mediated isoform switch in AsymAD and AD.&lt;/p&gt;&lt;/sec&gt;&lt;sec&gt;&lt;title&gt;Conclusion&lt;/title&gt;&lt;p&gt;In summary, our study provided transcript-resolution insights into the transcriptome disturbance of AsymAD and AD, which will promote the discovery of early diagnosis biomarkers and the development of new therapeutic strategies for patients with AD.&lt;/p&gt;&lt;/sec&gt;","container-title":"Frontiers in Aging Neuroscience","DOI":"10.3389/fnagi.2023.1191680","ISSN":"1663-4365","journalAbbreviation":"Front. Aging Neurosci.","language":"English","note":"publisher: Frontiers","source":"Frontiers","title":"Comprehensive transcript-level analysis reveals transcriptional reprogramming during the progression of Alzheimer’s disease","URL":"https://www.frontiersin.org/journals/aging-neuroscience/articles/10.3389/fnagi.2023.1191680/full","volume":"15","author":[{"family":"Wu","given":"Hao"},{"family":"Wang","given":"Jiao"},{"family":"Hu","given":"Xiaoyuan"},{"family":"Zhuang","given":"Cheng"},{"family":"Zhou","given":"Jianxin"},{"family":"Wu","given":"Peiru"},{"family":"Li","given":"Shengli"},{"family":"Zhao","given":"Robert Chunhua"}],"accessed":{"date-parts":[["2024",10,5]]},"issued":{"date-parts":[["2023",6,15]]}}},{"id":6975,"uris":["http://zotero.org/users/5158171/items/KYDV3NHL"],"itemData":{"id":6975,"type":"article-journal","abstract":"Increasing evidence suggests that alternative splicing plays an important role in Alzheimer’s disease (AD) pathology. We used long-read sequencing in combination with a novel bioinformatics tool (FICLE) to profile transcript diversity in the entorhinal cortex of female transgenic (TG) mice harboring a mutant form of human tau. Our analyses revealed hundreds of novel isoforms and identified differentially expressed transcripts – including specific isoforms of Apoe, App, Cd33, Clu, Fyn and Trem2 – associated with the development of tau pathology in TG mice. Subsequent profiling of the human cortex from AD individuals and controls revealed similar patterns of transcript diversity, including the upregulation of the dominant TREM2 isoform in AD paralleling the increased expression of the homologous transcript in TG mice. Our results highlight the importance of differential transcript usage, even in the absence of gene-level expression alterations, as a mechanism underpinning gene regulation in the development of AD neuropathology.","container-title":"Nature Communications","DOI":"10.1038/s41467-024-50486-8","ISSN":"2041-1723","issue":"1","journalAbbreviation":"Nat Commun","language":"en","license":"2024 The Author(s)","note":"publisher: Nature Publishing Group","page":"6458","source":"www.nature.com","title":"Long-read transcript sequencing identifies differential isoform expression in the entorhinal cortex in a transgenic model of tau pathology","volume":"15","author":[{"family":"Leung","given":"Szi Kay"},{"family":"Bamford","given":"Rosemary A."},{"family":"Jeffries","given":"Aaron R."},{"family":"Castanho","given":"Isabel"},{"family":"Chioza","given":"Barry"},{"family":"Flaxman","given":"Christine S."},{"family":"Moore","given":"Karen"},{"family":"Dempster","given":"Emma L."},{"family":"Harvey","given":"Joshua"},{"family":"Brown","given":"Jonathan T."},{"family":"Ahmed","given":"Zeshan"},{"family":"O’Neill","given":"Paul"},{"family":"Richardson","given":"Sarah J."},{"family":"Hannon","given":"Eilis"},{"family":"Mill","given":"Jonathan"}],"issued":{"date-parts":[["2024",8,2]]}}}],"schema":"https://github.com/citation-style-language/schema/raw/master/csl-citation.json"} </w:instrText>
      </w:r>
      <w:r w:rsidR="00982767" w:rsidRPr="002C2F74">
        <w:rPr>
          <w:rFonts w:eastAsiaTheme="minorEastAsia" w:cs="Times New Roman"/>
        </w:rPr>
        <w:fldChar w:fldCharType="separate"/>
      </w:r>
      <w:r w:rsidR="00E66FF7" w:rsidRPr="002C2F74">
        <w:rPr>
          <w:rFonts w:cs="Times New Roman"/>
        </w:rPr>
        <w:t>[7, 8, 9]</w:t>
      </w:r>
      <w:r w:rsidR="00982767" w:rsidRPr="002C2F74">
        <w:rPr>
          <w:rFonts w:eastAsiaTheme="minorEastAsia" w:cs="Times New Roman"/>
        </w:rPr>
        <w:fldChar w:fldCharType="end"/>
      </w:r>
      <w:r w:rsidR="00982767" w:rsidRPr="002C2F74">
        <w:rPr>
          <w:rFonts w:eastAsiaTheme="minorEastAsia" w:cs="Times New Roman"/>
        </w:rPr>
        <w:t>.</w:t>
      </w:r>
    </w:p>
    <w:p w14:paraId="4F4BA46D" w14:textId="2A935812" w:rsidR="00521C09" w:rsidRPr="002C2F74" w:rsidRDefault="00F27D78" w:rsidP="00521C09">
      <w:pPr>
        <w:snapToGrid w:val="0"/>
        <w:spacing w:line="276" w:lineRule="auto"/>
        <w:ind w:firstLine="420"/>
        <w:rPr>
          <w:rFonts w:eastAsiaTheme="minorEastAsia" w:cs="Times New Roman"/>
        </w:rPr>
      </w:pPr>
      <w:r w:rsidRPr="002C2F74">
        <w:rPr>
          <w:rFonts w:eastAsiaTheme="minorEastAsia" w:cs="Times New Roman" w:hint="eastAsia"/>
        </w:rPr>
        <w:t>Our</w:t>
      </w:r>
      <w:r w:rsidRPr="002C2F74">
        <w:rPr>
          <w:rFonts w:eastAsiaTheme="minorEastAsia" w:cs="Times New Roman"/>
        </w:rPr>
        <w:t xml:space="preserve"> first goal here is to derive all the splicing isoforms and </w:t>
      </w:r>
      <w:proofErr w:type="spellStart"/>
      <w:r w:rsidRPr="002C2F74">
        <w:rPr>
          <w:rFonts w:eastAsiaTheme="minorEastAsia" w:cs="Times New Roman"/>
        </w:rPr>
        <w:t>lncRNAs</w:t>
      </w:r>
      <w:proofErr w:type="spellEnd"/>
      <w:r w:rsidRPr="002C2F74">
        <w:rPr>
          <w:rFonts w:eastAsiaTheme="minorEastAsia" w:cs="Times New Roman"/>
        </w:rPr>
        <w:t xml:space="preserve"> expressed in MCI and AD tissues</w:t>
      </w:r>
      <w:r w:rsidR="0021663B" w:rsidRPr="002C2F74">
        <w:rPr>
          <w:rFonts w:eastAsiaTheme="minorEastAsia" w:cs="Times New Roman"/>
        </w:rPr>
        <w:t xml:space="preserve"> </w:t>
      </w:r>
      <w:r w:rsidR="006A4295">
        <w:rPr>
          <w:rFonts w:eastAsiaTheme="minorEastAsia" w:cs="Times New Roman"/>
        </w:rPr>
        <w:t xml:space="preserve">based on the raw RNAseq reads </w:t>
      </w:r>
      <w:r w:rsidR="0021663B" w:rsidRPr="002C2F74">
        <w:rPr>
          <w:rFonts w:eastAsiaTheme="minorEastAsia" w:cs="Times New Roman"/>
        </w:rPr>
        <w:t>available in the public domain</w:t>
      </w:r>
      <w:r w:rsidRPr="002C2F74">
        <w:rPr>
          <w:rFonts w:eastAsiaTheme="minorEastAsia" w:cs="Times New Roman"/>
        </w:rPr>
        <w:t xml:space="preserve">, along with their expression levels. To accomplish this, we have collected </w:t>
      </w:r>
      <w:r w:rsidR="0021663B" w:rsidRPr="002C2F74">
        <w:rPr>
          <w:rFonts w:eastAsiaTheme="minorEastAsia" w:cs="Times New Roman"/>
        </w:rPr>
        <w:t xml:space="preserve">raw </w:t>
      </w:r>
      <w:r w:rsidRPr="002C2F74">
        <w:rPr>
          <w:rFonts w:eastAsiaTheme="minorEastAsia" w:cs="Times New Roman"/>
        </w:rPr>
        <w:t xml:space="preserve">RNAseq reads </w:t>
      </w:r>
      <w:r w:rsidR="006A4295">
        <w:rPr>
          <w:rFonts w:eastAsiaTheme="minorEastAsia" w:cs="Times New Roman"/>
        </w:rPr>
        <w:t>from</w:t>
      </w:r>
      <w:r w:rsidRPr="002C2F74">
        <w:rPr>
          <w:rFonts w:eastAsiaTheme="minorEastAsia" w:cs="Times New Roman"/>
        </w:rPr>
        <w:t xml:space="preserve"> </w:t>
      </w:r>
      <w:r w:rsidR="00521C09" w:rsidRPr="002C2F74">
        <w:rPr>
          <w:rFonts w:eastAsiaTheme="minorEastAsia" w:cs="Times New Roman"/>
        </w:rPr>
        <w:t xml:space="preserve">three </w:t>
      </w:r>
      <w:r w:rsidRPr="002C2F74">
        <w:rPr>
          <w:rFonts w:eastAsiaTheme="minorEastAsia" w:cs="Times New Roman"/>
        </w:rPr>
        <w:t>public data</w:t>
      </w:r>
      <w:r w:rsidR="00521C09" w:rsidRPr="002C2F74">
        <w:rPr>
          <w:rFonts w:eastAsiaTheme="minorEastAsia" w:cs="Times New Roman"/>
        </w:rPr>
        <w:t>set</w:t>
      </w:r>
      <w:r w:rsidRPr="002C2F74">
        <w:rPr>
          <w:rFonts w:eastAsiaTheme="minorEastAsia" w:cs="Times New Roman"/>
        </w:rPr>
        <w:t>s</w:t>
      </w:r>
      <w:r w:rsidR="00521C09" w:rsidRPr="002C2F74">
        <w:rPr>
          <w:rFonts w:eastAsiaTheme="minorEastAsia" w:cs="Times New Roman"/>
        </w:rPr>
        <w:t>: (</w:t>
      </w:r>
      <w:proofErr w:type="spellStart"/>
      <w:r w:rsidR="00521C09" w:rsidRPr="002C2F74">
        <w:rPr>
          <w:rFonts w:eastAsiaTheme="minorEastAsia" w:cs="Times New Roman"/>
        </w:rPr>
        <w:t>i</w:t>
      </w:r>
      <w:proofErr w:type="spellEnd"/>
      <w:r w:rsidR="00521C09" w:rsidRPr="002C2F74">
        <w:rPr>
          <w:rFonts w:eastAsiaTheme="minorEastAsia" w:cs="Times New Roman"/>
        </w:rPr>
        <w:t>) data generated from the dorsolateral prefrontal cortex</w:t>
      </w:r>
      <w:r w:rsidR="0021663B" w:rsidRPr="002C2F74">
        <w:rPr>
          <w:rFonts w:eastAsiaTheme="minorEastAsia" w:cs="Times New Roman"/>
        </w:rPr>
        <w:t xml:space="preserve"> </w:t>
      </w:r>
      <w:r w:rsidR="00521C09" w:rsidRPr="002C2F74">
        <w:rPr>
          <w:rFonts w:eastAsiaTheme="minorEastAsia" w:cs="Times New Roman"/>
        </w:rPr>
        <w:t xml:space="preserve">region in the ROSMAP cohort </w:t>
      </w:r>
      <w:r w:rsidR="00521C09" w:rsidRPr="002C2F74">
        <w:rPr>
          <w:rFonts w:eastAsiaTheme="minorEastAsia" w:cs="Times New Roman"/>
        </w:rPr>
        <w:fldChar w:fldCharType="begin"/>
      </w:r>
      <w:r w:rsidR="00B54D73" w:rsidRPr="002C2F74">
        <w:rPr>
          <w:rFonts w:eastAsiaTheme="minorEastAsia" w:cs="Times New Roman"/>
        </w:rPr>
        <w:instrText xml:space="preserve"> ADDIN ZOTERO_ITEM CSL_CITATION {"citationID":"NFyl6El0","properties":{"formattedCitation":"[3]","plainCitation":"[3]","noteIndex":0},"citationItems":[{"id":4876,"uris":["http://zotero.org/users/5158171/items/3APBNG3C"],"itemData":{"id":4876,"type":"article-journal","abstract":"Background:\nThe Religious Orders Study and Rush Memory and Aging Project are both ongoing longitudinal clinical-pathologic cohort studies of aging and Alzheimer’s disease (AD).\n\nObjectives:\nTo summarize progress over the past five years and its implications for understanding neurodegenerative diseases.\n\nMethods:\nParticipants in both studies are older adults who enroll without dementia and agree to detailed longitudinal clinical evaluations and organ donation. The last review summarized findings through the end of 2011. Here we summarize progress and study findings over the past five years, and discuss new directions for how these studies can inform on aging and AD in the future.\n\nResults:\nWe summarize 1) findings on the relation of neurobiology to clinical AD; 2) neurobiologic pathways linking risk factors to clinical AD; 3) non-cognitive AD phenotypes including motor function and decision making; 4) the development of a novel drug discovery platform.\n\nConclusion:\nComplexity at multiple levels needs to be understood and overcome to develop effective treatments and preventions for cognitive decline and AD dementia.","container-title":"Journal of Alzheimer's disease : JAD","DOI":"10.3233/JAD-179939","ISSN":"1387-2877","issue":"Suppl 1","journalAbbreviation":"J Alzheimers Dis","note":"PMID: 29865057\nPMCID: PMC6380522","page":"S161-S189","source":"PubMed Central","title":"Religious Orders Study and Rush Memory and Aging Project","volume":"64","author":[{"family":"Bennett","given":"David A."},{"family":"Buchman","given":"Aron S."},{"family":"Boyle","given":"Patricia A."},{"family":"Barnes","given":"Lisa L."},{"family":"Wilson","given":"Robert S."},{"family":"Schneider","given":"Julie A"}],"issued":{"date-parts":[["2018"]]}}}],"schema":"https://github.com/citation-style-language/schema/raw/master/csl-citation.json"} </w:instrText>
      </w:r>
      <w:r w:rsidR="00521C09" w:rsidRPr="002C2F74">
        <w:rPr>
          <w:rFonts w:eastAsiaTheme="minorEastAsia" w:cs="Times New Roman"/>
        </w:rPr>
        <w:fldChar w:fldCharType="separate"/>
      </w:r>
      <w:r w:rsidR="00B54D73" w:rsidRPr="002C2F74">
        <w:rPr>
          <w:rFonts w:cs="Times New Roman"/>
        </w:rPr>
        <w:t>[3]</w:t>
      </w:r>
      <w:r w:rsidR="00521C09" w:rsidRPr="002C2F74">
        <w:rPr>
          <w:rFonts w:eastAsiaTheme="minorEastAsia" w:cs="Times New Roman"/>
        </w:rPr>
        <w:fldChar w:fldCharType="end"/>
      </w:r>
      <w:r w:rsidR="00521C09" w:rsidRPr="002C2F74">
        <w:rPr>
          <w:rFonts w:eastAsiaTheme="minorEastAsia" w:cs="Times New Roman"/>
        </w:rPr>
        <w:t xml:space="preserve">; (ii) datasets from regions 22 and 36 of the temporal lobe and </w:t>
      </w:r>
      <w:r w:rsidR="0021663B" w:rsidRPr="002C2F74">
        <w:rPr>
          <w:rFonts w:eastAsiaTheme="minorEastAsia" w:cs="Times New Roman"/>
        </w:rPr>
        <w:t xml:space="preserve">from </w:t>
      </w:r>
      <w:r w:rsidR="00521C09" w:rsidRPr="002C2F74">
        <w:rPr>
          <w:rFonts w:eastAsiaTheme="minorEastAsia" w:cs="Times New Roman"/>
        </w:rPr>
        <w:t xml:space="preserve">regions 10 and 44 of the frontal lobe in the MSBB database </w:t>
      </w:r>
      <w:r w:rsidR="00521C09" w:rsidRPr="002C2F74">
        <w:rPr>
          <w:rFonts w:eastAsiaTheme="minorEastAsia" w:cs="Times New Roman"/>
        </w:rPr>
        <w:fldChar w:fldCharType="begin"/>
      </w:r>
      <w:r w:rsidR="00B54D73" w:rsidRPr="002C2F74">
        <w:rPr>
          <w:rFonts w:eastAsiaTheme="minorEastAsia" w:cs="Times New Roman"/>
        </w:rPr>
        <w:instrText xml:space="preserve"> ADDIN ZOTERO_ITEM CSL_CITATION {"citationID":"7OZwFfQz","properties":{"formattedCitation":"[4]","plainCitation":"[4]","noteIndex":0},"citationItems":[{"id":1220,"uris":["http://zotero.org/users/5158171/items/GT9Q8FJQ"],"itemData":{"id":1220,"type":"article-journal","abstract":"Alzheimer’s disease (AD) affects half the US population over the age of 85 and is universally fatal following an average course of 10 years of progressive cognitive disability. Genetic and genome-wide association studies (GWAS) have identified about 33 risk factor genes for common, late-onset AD (LOAD), but these risk loci fail to account for the majority of affected cases and can neither provide clinically meaningful prediction of development of AD nor offer actionable mechanisms. This cohort study generated large-scale matched multi-Omics data in AD and control brains for exploring novel molecular underpinnings of AD. Specifically, we generated whole genome sequencing, whole exome sequencing, transcriptome sequencing and proteome profiling data from multiple regions of 364 postmortem control, mild cognitive impaired (MCI) and AD brains with rich clinical and pathophysiological data. All the data went through rigorous quality control. Both the raw and processed data are publicly a</w:instrText>
      </w:r>
      <w:r w:rsidR="00B54D73" w:rsidRPr="002C2F74">
        <w:rPr>
          <w:rFonts w:eastAsiaTheme="minorEastAsia" w:cs="Times New Roman" w:hint="eastAsia"/>
        </w:rPr>
        <w:instrText>vailable through the Synapse software platform.","container-title":"Scientific Data","DOI":"10.1038/sdata.2018.185","ISSN":"2052-4463","issue":"1","language":"en","license":"2018 The Author(s)","note":"</w:instrText>
      </w:r>
      <w:r w:rsidR="00B54D73" w:rsidRPr="002C2F74">
        <w:rPr>
          <w:rFonts w:eastAsiaTheme="minorEastAsia" w:cs="Times New Roman" w:hint="eastAsia"/>
        </w:rPr>
        <w:instrText>对应文献</w:instrText>
      </w:r>
      <w:r w:rsidR="00B54D73" w:rsidRPr="002C2F74">
        <w:rPr>
          <w:rFonts w:eastAsiaTheme="minorEastAsia" w:cs="Times New Roman" w:hint="eastAsia"/>
        </w:rPr>
        <w:instrText>","page":"180185","source":"www.nature.com","titl</w:instrText>
      </w:r>
      <w:r w:rsidR="00B54D73" w:rsidRPr="002C2F74">
        <w:rPr>
          <w:rFonts w:eastAsiaTheme="minorEastAsia" w:cs="Times New Roman"/>
        </w:rPr>
        <w:instrText xml:space="preserve">e":"The Mount Sinai cohort of large-scale genomic, transcriptomic and proteomic data in Alzheimer's disease","volume":"5","author":[{"family":"Wang","given":"Minghui"},{"family":"Beckmann","given":"Noam D."},{"family":"Roussos","given":"Panos"},{"family":"Wang","given":"Erming"},{"family":"Zhou","given":"Xianxiao"},{"family":"Wang","given":"Qian"},{"family":"Ming","given":"Chen"},{"family":"Neff","given":"Ryan"},{"family":"Ma","given":"Weiping"},{"family":"Fullard","given":"John F."},{"family":"Hauberg","given":"Mads E."},{"family":"Bendl","given":"Jaroslav"},{"family":"Peters","given":"Mette A."},{"family":"Logsdon","given":"Ben"},{"family":"Wang","given":"Pei"},{"family":"Mahajan","given":"Milind"},{"family":"Mangravite","given":"Lara M."},{"family":"Dammer","given":"Eric B."},{"family":"Duong","given":"Duc M."},{"family":"Lah","given":"James J."},{"family":"Seyfried","given":"Nicholas T."},{"family":"Levey","given":"Allan I."},{"family":"Buxbaum","given":"Joseph D."},{"family":"Ehrlich","given":"Michelle"},{"family":"Gandy","given":"Sam"},{"family":"Katsel","given":"Pavel"},{"family":"Haroutunian","given":"Vahram"},{"family":"Schadt","given":"Eric"},{"family":"Zhang","given":"Bin"}],"issued":{"date-parts":[["2018",9,11]]}}}],"schema":"https://github.com/citation-style-language/schema/raw/master/csl-citation.json"} </w:instrText>
      </w:r>
      <w:r w:rsidR="00521C09" w:rsidRPr="002C2F74">
        <w:rPr>
          <w:rFonts w:eastAsiaTheme="minorEastAsia" w:cs="Times New Roman"/>
        </w:rPr>
        <w:fldChar w:fldCharType="separate"/>
      </w:r>
      <w:r w:rsidR="00B54D73" w:rsidRPr="002C2F74">
        <w:rPr>
          <w:rFonts w:cs="Times New Roman"/>
        </w:rPr>
        <w:t>[4]</w:t>
      </w:r>
      <w:r w:rsidR="00521C09" w:rsidRPr="002C2F74">
        <w:rPr>
          <w:rFonts w:eastAsiaTheme="minorEastAsia" w:cs="Times New Roman"/>
        </w:rPr>
        <w:fldChar w:fldCharType="end"/>
      </w:r>
      <w:r w:rsidR="00521C09" w:rsidRPr="002C2F74">
        <w:rPr>
          <w:rFonts w:eastAsiaTheme="minorEastAsia" w:cs="Times New Roman"/>
        </w:rPr>
        <w:t xml:space="preserve">; and (iii) the GSE95587 dataset </w:t>
      </w:r>
      <w:r w:rsidR="00521C09" w:rsidRPr="002C2F74">
        <w:rPr>
          <w:rFonts w:eastAsiaTheme="minorEastAsia" w:cs="Times New Roman"/>
        </w:rPr>
        <w:fldChar w:fldCharType="begin"/>
      </w:r>
      <w:r w:rsidR="0004572E" w:rsidRPr="002C2F74">
        <w:rPr>
          <w:rFonts w:eastAsiaTheme="minorEastAsia" w:cs="Times New Roman"/>
        </w:rPr>
        <w:instrText xml:space="preserve"> ADDIN ZOTERO_ITEM CSL_CITATION {"citationID":"2qoZUvjX","properties":{"formattedCitation":"[5]","plainCitation":"[5]","noteIndex":0},"citationItems":[{"id":7003,"uris":["http://zotero.org/users/5158171/items/4JFBREBN"],"itemData":{"id":7003,"type":"article-journal","abstract":"Microglia, the CNS-resident immune cells, play important roles in disease, but the spectrum of their possible activation states is not well understood. We derived co-regulated gene modules from transcriptional profiles of CNS myeloid cells of diverse mouse models, including new tauopathy model datasets. Using these modules to interpret single-cell data from an Alzheimer's disease (AD) model, we identified microglial subsets-distinct from previously reported \"disease-associated microglia\"-expressing interferon-related or proliferation modules. We then analyzed whole-tissue RNA profiles from human neurodegenerative diseases, including a new AD dataset. Correcting for altered cellular composition of AD tissue, we observed elevated expression of the neurodegeneration-related modules, but also modules not implicated using expression profiles from mouse models alone. We provide a searchable, interactive database for exploring gene expression in all these datasets (http://research-pub.gene.com/BrainMyeloidLandscape). Understanding the dimensions of CNS myeloid cell activation in human disease may reveal opportunities for therapeutic intervention.","container-title":"Cell Reports","DOI":"10.1016/j.celrep.2017.12.066","ISSN":"2211-1247","issue":"3","journalAbbreviation":"Cell Rep","language":"eng","note":"PMID: 29346778","page":"832-847","source":"PubMed","title":"Diverse Brain Myeloid Expression Profiles Reveal Distinct Microglial Activation States and Aspects of Alzheimer's Disease Not Evident in Mouse Models","volume":"22","author":[{"family":"Friedman","given":"Brad A."},{"family":"Srinivasan","given":"Karpagam"},{"family":"Ayalon","given":"Gai"},{"family":"Meilandt","given":"William J."},{"family":"Lin","given":"Han"},{"family":"Huntley","given":"Melanie A."},{"family":"Cao","given":"Yi"},{"family":"Lee","given":"Seung-Hye"},{"family":"Haddick","given":"Patrick C. G."},{"family":"Ngu","given":"Hai"},{"family":"Modrusan","given":"Zora"},{"family":"Larson","given":"Jessica L."},{"family":"Kaminker","given":"Joshua S."},{"family":"Brug","given":"Marcel P.","non-dropping-particle":"van der"},{"family":"Hansen","given":"David V."}],"issued":{"date-parts":[["2018",1,16]]}}}],"schema":"https://github.com/citation-style-language/schema/raw/master/csl-citation.json"} </w:instrText>
      </w:r>
      <w:r w:rsidR="00521C09" w:rsidRPr="002C2F74">
        <w:rPr>
          <w:rFonts w:eastAsiaTheme="minorEastAsia" w:cs="Times New Roman"/>
        </w:rPr>
        <w:fldChar w:fldCharType="separate"/>
      </w:r>
      <w:r w:rsidR="00B54D73" w:rsidRPr="002C2F74">
        <w:rPr>
          <w:rFonts w:cs="Times New Roman"/>
        </w:rPr>
        <w:t>[5]</w:t>
      </w:r>
      <w:r w:rsidR="00521C09" w:rsidRPr="002C2F74">
        <w:rPr>
          <w:rFonts w:eastAsiaTheme="minorEastAsia" w:cs="Times New Roman"/>
        </w:rPr>
        <w:fldChar w:fldCharType="end"/>
      </w:r>
      <w:r w:rsidR="00521C09" w:rsidRPr="002C2F74">
        <w:rPr>
          <w:rFonts w:eastAsiaTheme="minorEastAsia" w:cs="Times New Roman"/>
        </w:rPr>
        <w:t xml:space="preserve">. De novo assembly of these RNA reads were conducted using </w:t>
      </w:r>
      <w:proofErr w:type="spellStart"/>
      <w:r w:rsidR="005F45AF" w:rsidRPr="002C2F74">
        <w:rPr>
          <w:rFonts w:eastAsiaTheme="minorEastAsia" w:cs="Times New Roman"/>
        </w:rPr>
        <w:t>StringTie</w:t>
      </w:r>
      <w:proofErr w:type="spellEnd"/>
      <w:r w:rsidR="005F45AF" w:rsidRPr="002C2F74">
        <w:rPr>
          <w:rFonts w:eastAsiaTheme="minorEastAsia" w:cs="Times New Roman"/>
        </w:rPr>
        <w:t xml:space="preserve">, currently the best-performing assembly software </w:t>
      </w:r>
      <w:r w:rsidR="0021663B" w:rsidRPr="002C2F74">
        <w:rPr>
          <w:rFonts w:eastAsiaTheme="minorEastAsia" w:cs="Times New Roman"/>
        </w:rPr>
        <w:t xml:space="preserve">for transcripts publicly </w:t>
      </w:r>
      <w:r w:rsidR="005F45AF" w:rsidRPr="002C2F74">
        <w:rPr>
          <w:rFonts w:eastAsiaTheme="minorEastAsia" w:cs="Times New Roman"/>
        </w:rPr>
        <w:t xml:space="preserve">available </w:t>
      </w:r>
      <w:r w:rsidR="003E1620" w:rsidRPr="002C2F74">
        <w:rPr>
          <w:rFonts w:eastAsiaTheme="minorEastAsia" w:cs="Times New Roman"/>
          <w:b/>
          <w:bCs/>
        </w:rPr>
        <w:fldChar w:fldCharType="begin"/>
      </w:r>
      <w:r w:rsidR="00E66FF7" w:rsidRPr="002C2F74">
        <w:rPr>
          <w:rFonts w:eastAsiaTheme="minorEastAsia" w:cs="Times New Roman"/>
          <w:b/>
          <w:bCs/>
        </w:rPr>
        <w:instrText xml:space="preserve"> ADDIN ZOTERO_ITEM CSL_CITATION {"citationID":"9K7c3Ji4","properties":{"formattedCitation":"[10]","plainCitation":"[10]","noteIndex":0},"citationItems":[{"id":6993,"uris":["http://zotero.org/users/5158171/items/EEDLIHDE"],"itemData":{"id":6993,"type":"article-journal","abstract":"RNA sequencing using the latest single-molecule sequencing instruments produces reads that are thousands of nucleotides long. The ability to assemble these long reads can greatly improve the sensitivity of long-read analyses. Here we present StringTie2, a reference-guided transcriptome assembler that works with both short and long reads. StringTie2 includes new methods to handle the high error rate of long reads and offers the ability to work with full-length super-reads assembled from short reads, which further improves the quality of short-read assemblies. StringTie2 is more accurate and faster and uses less memory than all comparable short-read and long-read analysis tools.","container-title":"Genome Biology","DOI":"10.1186/s13059-019-1910-1","ISSN":"1474-760X","issue":"1","journalAbbreviation":"Genome Biology","page":"278","source":"BioMed Central","title":"Transcriptome assembly from long-read RNA-seq alignments with StringTie2","volume":"20","author":[{"family":"Kovaka","given":"Sam"},{"family":"Zimin","given":"Aleksey V."},{"family":"Pertea","given":"Geo M."},{"family":"Razaghi","given":"Roham"},{"family":"Salzberg","given":"Steven L."},{"family":"Pertea","given":"Mihaela"}],"issued":{"date-parts":[["2019",12,16]]}}}],"schema":"https://github.com/citation-style-language/schema/raw/master/csl-citation.json"} </w:instrText>
      </w:r>
      <w:r w:rsidR="003E1620" w:rsidRPr="002C2F74">
        <w:rPr>
          <w:rFonts w:eastAsiaTheme="minorEastAsia" w:cs="Times New Roman"/>
          <w:b/>
          <w:bCs/>
        </w:rPr>
        <w:fldChar w:fldCharType="separate"/>
      </w:r>
      <w:r w:rsidR="00E66FF7" w:rsidRPr="002C2F74">
        <w:rPr>
          <w:rFonts w:cs="Times New Roman"/>
        </w:rPr>
        <w:t>[10]</w:t>
      </w:r>
      <w:r w:rsidR="003E1620" w:rsidRPr="002C2F74">
        <w:rPr>
          <w:rFonts w:eastAsiaTheme="minorEastAsia" w:cs="Times New Roman"/>
          <w:b/>
          <w:bCs/>
        </w:rPr>
        <w:fldChar w:fldCharType="end"/>
      </w:r>
      <w:r w:rsidR="005F45AF" w:rsidRPr="002C2F74">
        <w:rPr>
          <w:rFonts w:eastAsiaTheme="minorEastAsia" w:cs="Times New Roman"/>
        </w:rPr>
        <w:t xml:space="preserve">. </w:t>
      </w:r>
      <w:r w:rsidR="00521C09" w:rsidRPr="002C2F74">
        <w:rPr>
          <w:rFonts w:eastAsiaTheme="minorEastAsia" w:cs="Times New Roman"/>
        </w:rPr>
        <w:t>Then functional annotation of the assembled transcripts was conducted</w:t>
      </w:r>
      <w:r w:rsidR="00BB5C79" w:rsidRPr="002C2F74">
        <w:rPr>
          <w:rFonts w:eastAsiaTheme="minorEastAsia" w:cs="Times New Roman"/>
        </w:rPr>
        <w:t xml:space="preserve"> through mapping onto GENCODE</w:t>
      </w:r>
      <w:r w:rsidR="00521C09" w:rsidRPr="002C2F74">
        <w:rPr>
          <w:rFonts w:eastAsiaTheme="minorEastAsia" w:cs="Times New Roman"/>
        </w:rPr>
        <w:t xml:space="preserve">, </w:t>
      </w:r>
      <w:r w:rsidR="006A4295">
        <w:rPr>
          <w:rFonts w:eastAsiaTheme="minorEastAsia" w:cs="Times New Roman"/>
        </w:rPr>
        <w:t>for</w:t>
      </w:r>
      <w:r w:rsidR="00521C09" w:rsidRPr="002C2F74">
        <w:rPr>
          <w:rFonts w:eastAsiaTheme="minorEastAsia" w:cs="Times New Roman"/>
        </w:rPr>
        <w:t xml:space="preserve"> functional </w:t>
      </w:r>
      <w:r w:rsidR="006A4295">
        <w:rPr>
          <w:rFonts w:eastAsiaTheme="minorEastAsia" w:cs="Times New Roman"/>
        </w:rPr>
        <w:t>annotations of the newly assembled transcripts</w:t>
      </w:r>
      <w:r w:rsidR="006A4295" w:rsidRPr="002C2F74">
        <w:rPr>
          <w:rFonts w:eastAsiaTheme="minorEastAsia" w:cs="Times New Roman"/>
        </w:rPr>
        <w:t xml:space="preserve"> </w:t>
      </w:r>
      <w:r w:rsidR="006A4295">
        <w:rPr>
          <w:rFonts w:eastAsiaTheme="minorEastAsia" w:cs="Times New Roman"/>
        </w:rPr>
        <w:t xml:space="preserve">in support of </w:t>
      </w:r>
      <w:r w:rsidR="00521C09" w:rsidRPr="002C2F74">
        <w:rPr>
          <w:rFonts w:eastAsiaTheme="minorEastAsia" w:cs="Times New Roman"/>
        </w:rPr>
        <w:t>MCI/AD</w:t>
      </w:r>
      <w:r w:rsidR="006A4295">
        <w:rPr>
          <w:rFonts w:eastAsiaTheme="minorEastAsia" w:cs="Times New Roman"/>
        </w:rPr>
        <w:t xml:space="preserve"> studies</w:t>
      </w:r>
      <w:r w:rsidR="00521C09" w:rsidRPr="002C2F74">
        <w:rPr>
          <w:rFonts w:eastAsiaTheme="minorEastAsia" w:cs="Times New Roman"/>
        </w:rPr>
        <w:t xml:space="preserve">. </w:t>
      </w:r>
    </w:p>
    <w:p w14:paraId="7C242E74" w14:textId="71A67D2F" w:rsidR="0093702C" w:rsidRPr="002C2F74" w:rsidRDefault="0093702C" w:rsidP="00C4075C">
      <w:pPr>
        <w:snapToGrid w:val="0"/>
        <w:spacing w:line="276" w:lineRule="auto"/>
        <w:ind w:firstLine="420"/>
        <w:rPr>
          <w:rFonts w:eastAsiaTheme="minorEastAsia" w:cs="Times New Roman"/>
        </w:rPr>
      </w:pPr>
      <w:r w:rsidRPr="002C2F74">
        <w:rPr>
          <w:rFonts w:eastAsiaTheme="minorEastAsia" w:cs="Times New Roman"/>
        </w:rPr>
        <w:t xml:space="preserve">Compared to the publicly available transcriptomic data for MCI and AD tissues, our dataset is </w:t>
      </w:r>
      <w:r w:rsidR="007A7974" w:rsidRPr="002C2F74">
        <w:rPr>
          <w:rFonts w:eastAsiaTheme="minorEastAsia" w:cs="Times New Roman"/>
        </w:rPr>
        <w:t>1.89 times</w:t>
      </w:r>
      <w:r w:rsidRPr="002C2F74">
        <w:rPr>
          <w:rFonts w:eastAsiaTheme="minorEastAsia" w:cs="Times New Roman"/>
        </w:rPr>
        <w:t xml:space="preserve"> </w:t>
      </w:r>
      <w:r w:rsidR="00C112C5" w:rsidRPr="002C2F74">
        <w:rPr>
          <w:rFonts w:eastAsiaTheme="minorEastAsia" w:cs="Times New Roman"/>
        </w:rPr>
        <w:t>larger</w:t>
      </w:r>
      <w:r w:rsidR="00BB5C79" w:rsidRPr="002C2F74">
        <w:rPr>
          <w:rFonts w:eastAsiaTheme="minorEastAsia" w:cs="Times New Roman"/>
        </w:rPr>
        <w:t xml:space="preserve"> </w:t>
      </w:r>
      <w:r w:rsidR="00C4075C">
        <w:rPr>
          <w:rFonts w:eastAsiaTheme="minorEastAsia" w:cs="Times New Roman"/>
        </w:rPr>
        <w:t xml:space="preserve">than the currently available datasets along </w:t>
      </w:r>
      <w:r w:rsidR="00BB5C79" w:rsidRPr="002C2F74">
        <w:rPr>
          <w:rFonts w:eastAsiaTheme="minorEastAsia" w:cs="Times New Roman"/>
        </w:rPr>
        <w:t>with</w:t>
      </w:r>
      <w:r w:rsidRPr="002C2F74">
        <w:rPr>
          <w:rFonts w:eastAsiaTheme="minorEastAsia" w:cs="Times New Roman"/>
        </w:rPr>
        <w:t xml:space="preserve"> </w:t>
      </w:r>
      <w:r w:rsidR="002E3EEE" w:rsidRPr="002C2F74">
        <w:rPr>
          <w:rFonts w:eastAsiaTheme="minorEastAsia" w:cs="Times New Roman" w:hint="eastAsia"/>
        </w:rPr>
        <w:t>1.845</w:t>
      </w:r>
      <w:r w:rsidR="00DD0685" w:rsidRPr="002C2F74">
        <w:rPr>
          <w:rFonts w:eastAsiaTheme="minorEastAsia" w:cs="Times New Roman"/>
        </w:rPr>
        <w:t xml:space="preserve"> times more functionally assigned transcripts</w:t>
      </w:r>
      <w:r w:rsidR="00BB5C79" w:rsidRPr="002C2F74">
        <w:rPr>
          <w:rFonts w:eastAsiaTheme="minorEastAsia" w:cs="Times New Roman"/>
        </w:rPr>
        <w:t xml:space="preserve">, enabling functional studies of AD with much expanded scope </w:t>
      </w:r>
      <w:r w:rsidR="00C4075C">
        <w:rPr>
          <w:rFonts w:eastAsiaTheme="minorEastAsia" w:cs="Times New Roman"/>
        </w:rPr>
        <w:t>and</w:t>
      </w:r>
      <w:r w:rsidR="00C4075C" w:rsidRPr="002C2F74">
        <w:rPr>
          <w:rFonts w:eastAsiaTheme="minorEastAsia" w:cs="Times New Roman"/>
        </w:rPr>
        <w:t xml:space="preserve"> </w:t>
      </w:r>
      <w:r w:rsidR="00BB5C79" w:rsidRPr="002C2F74">
        <w:rPr>
          <w:rFonts w:eastAsiaTheme="minorEastAsia" w:cs="Times New Roman"/>
        </w:rPr>
        <w:t>higher depth</w:t>
      </w:r>
      <w:r w:rsidR="00DD0685" w:rsidRPr="002C2F74">
        <w:rPr>
          <w:rFonts w:eastAsiaTheme="minorEastAsia" w:cs="Times New Roman"/>
        </w:rPr>
        <w:t xml:space="preserve">. </w:t>
      </w:r>
      <w:r w:rsidRPr="002C2F74">
        <w:rPr>
          <w:rFonts w:eastAsiaTheme="minorEastAsia" w:cs="Times New Roman"/>
        </w:rPr>
        <w:t>To the best of our knowledge, this work represents the first effort to build a most comprehensive transcript-level dataset for MCI and AD studies.</w:t>
      </w:r>
    </w:p>
    <w:p w14:paraId="1DC69D69" w14:textId="77777777" w:rsidR="005F45AF" w:rsidRPr="002C2F74" w:rsidRDefault="005F45AF" w:rsidP="00A163C1">
      <w:pPr>
        <w:snapToGrid w:val="0"/>
        <w:spacing w:line="276" w:lineRule="auto"/>
        <w:rPr>
          <w:rFonts w:eastAsiaTheme="minorEastAsia" w:cs="Times New Roman"/>
        </w:rPr>
      </w:pPr>
    </w:p>
    <w:p w14:paraId="7F19392B" w14:textId="0193D0A8" w:rsidR="00FB2F82" w:rsidRPr="002C2F74" w:rsidRDefault="00A163C1" w:rsidP="005E74B4">
      <w:pPr>
        <w:pStyle w:val="a9"/>
        <w:numPr>
          <w:ilvl w:val="0"/>
          <w:numId w:val="15"/>
        </w:numPr>
        <w:snapToGrid w:val="0"/>
        <w:spacing w:line="276" w:lineRule="auto"/>
        <w:rPr>
          <w:rFonts w:eastAsiaTheme="minorEastAsia" w:cs="Times New Roman"/>
          <w:b/>
          <w:bCs/>
        </w:rPr>
      </w:pPr>
      <w:r w:rsidRPr="002C2F74">
        <w:rPr>
          <w:rFonts w:cs="Times New Roman"/>
          <w:b/>
          <w:bCs/>
        </w:rPr>
        <w:t>RESULTS</w:t>
      </w:r>
    </w:p>
    <w:p w14:paraId="7A7D67F9" w14:textId="7788BF9C" w:rsidR="009A27CF" w:rsidRPr="002C2F74" w:rsidRDefault="009A27CF" w:rsidP="00A163C1">
      <w:pPr>
        <w:snapToGrid w:val="0"/>
        <w:spacing w:line="276" w:lineRule="auto"/>
        <w:rPr>
          <w:rFonts w:cs="Times New Roman"/>
          <w:b/>
          <w:bCs/>
        </w:rPr>
      </w:pPr>
      <w:r w:rsidRPr="002C2F74">
        <w:rPr>
          <w:rFonts w:cs="Times New Roman"/>
          <w:b/>
          <w:bCs/>
        </w:rPr>
        <w:t xml:space="preserve">2.1 </w:t>
      </w:r>
      <w:r w:rsidR="00E42655" w:rsidRPr="002C2F74">
        <w:rPr>
          <w:rFonts w:cs="Times New Roman"/>
          <w:b/>
          <w:bCs/>
        </w:rPr>
        <w:t>Create</w:t>
      </w:r>
      <w:r w:rsidR="00D35894" w:rsidRPr="002C2F74">
        <w:rPr>
          <w:rFonts w:cs="Times New Roman"/>
          <w:b/>
          <w:bCs/>
        </w:rPr>
        <w:t xml:space="preserve"> </w:t>
      </w:r>
      <w:r w:rsidR="00382BC2" w:rsidRPr="002C2F74">
        <w:rPr>
          <w:rFonts w:cs="Times New Roman"/>
          <w:b/>
          <w:bCs/>
        </w:rPr>
        <w:t xml:space="preserve">a </w:t>
      </w:r>
      <w:r w:rsidR="00E007C3" w:rsidRPr="002C2F74">
        <w:rPr>
          <w:rFonts w:cs="Times New Roman"/>
          <w:b/>
          <w:bCs/>
        </w:rPr>
        <w:t>transcriptomic data</w:t>
      </w:r>
      <w:r w:rsidR="00382BC2" w:rsidRPr="002C2F74">
        <w:rPr>
          <w:rFonts w:cs="Times New Roman"/>
          <w:b/>
          <w:bCs/>
        </w:rPr>
        <w:t>set for</w:t>
      </w:r>
      <w:r w:rsidRPr="002C2F74">
        <w:rPr>
          <w:rFonts w:cs="Times New Roman"/>
          <w:b/>
          <w:bCs/>
        </w:rPr>
        <w:t xml:space="preserve"> Alzheimer's </w:t>
      </w:r>
      <w:r w:rsidR="00382BC2" w:rsidRPr="002C2F74">
        <w:rPr>
          <w:rFonts w:cs="Times New Roman"/>
          <w:b/>
          <w:bCs/>
        </w:rPr>
        <w:t>d</w:t>
      </w:r>
      <w:r w:rsidRPr="002C2F74">
        <w:rPr>
          <w:rFonts w:cs="Times New Roman"/>
          <w:b/>
          <w:bCs/>
        </w:rPr>
        <w:t>isease</w:t>
      </w:r>
    </w:p>
    <w:p w14:paraId="62D14D80" w14:textId="0C4C84EA" w:rsidR="008802A0" w:rsidRPr="002C2F74" w:rsidRDefault="00425910" w:rsidP="008802A0">
      <w:pPr>
        <w:snapToGrid w:val="0"/>
        <w:spacing w:line="276" w:lineRule="auto"/>
        <w:ind w:firstLine="420"/>
        <w:rPr>
          <w:rFonts w:cs="Times New Roman"/>
        </w:rPr>
      </w:pPr>
      <w:r w:rsidRPr="002C2F74">
        <w:rPr>
          <w:rFonts w:cs="Times New Roman"/>
        </w:rPr>
        <w:t>W</w:t>
      </w:r>
      <w:r w:rsidR="009A27CF" w:rsidRPr="002C2F74">
        <w:rPr>
          <w:rFonts w:cs="Times New Roman"/>
        </w:rPr>
        <w:t xml:space="preserve">e </w:t>
      </w:r>
      <w:r w:rsidRPr="002C2F74">
        <w:rPr>
          <w:rFonts w:cs="Times New Roman"/>
        </w:rPr>
        <w:t xml:space="preserve">have </w:t>
      </w:r>
      <w:r w:rsidR="009A27CF" w:rsidRPr="002C2F74">
        <w:rPr>
          <w:rFonts w:cs="Times New Roman"/>
        </w:rPr>
        <w:t xml:space="preserve">selected </w:t>
      </w:r>
      <w:r w:rsidR="00E66FF7" w:rsidRPr="002C2F74">
        <w:rPr>
          <w:rFonts w:cs="Times New Roman"/>
        </w:rPr>
        <w:t>639</w:t>
      </w:r>
      <w:r w:rsidR="00E66FF7" w:rsidRPr="002C2F74">
        <w:rPr>
          <w:rFonts w:cs="Times New Roman" w:hint="eastAsia"/>
        </w:rPr>
        <w:t xml:space="preserve"> </w:t>
      </w:r>
      <w:r w:rsidR="009A27CF" w:rsidRPr="002C2F74">
        <w:rPr>
          <w:rFonts w:cs="Times New Roman"/>
        </w:rPr>
        <w:t xml:space="preserve">samples from the DLPC region </w:t>
      </w:r>
      <w:r w:rsidRPr="002C2F74">
        <w:rPr>
          <w:rFonts w:cs="Times New Roman"/>
        </w:rPr>
        <w:t xml:space="preserve">in </w:t>
      </w:r>
      <w:r w:rsidR="009A27CF" w:rsidRPr="002C2F74">
        <w:rPr>
          <w:rFonts w:cs="Times New Roman"/>
        </w:rPr>
        <w:t>the ROSMAP database</w:t>
      </w:r>
      <w:r w:rsidR="003E1620" w:rsidRPr="002C2F74">
        <w:rPr>
          <w:rFonts w:cs="Times New Roman"/>
        </w:rPr>
        <w:t xml:space="preserve"> </w:t>
      </w:r>
      <w:r w:rsidR="003E1620" w:rsidRPr="002C2F74">
        <w:rPr>
          <w:rFonts w:cs="Times New Roman"/>
        </w:rPr>
        <w:fldChar w:fldCharType="begin"/>
      </w:r>
      <w:r w:rsidR="00B54D73" w:rsidRPr="002C2F74">
        <w:rPr>
          <w:rFonts w:cs="Times New Roman"/>
        </w:rPr>
        <w:instrText xml:space="preserve"> ADDIN ZOTERO_ITEM CSL_CITATION {"citationID":"cOl29uoW","properties":{"formattedCitation":"[3]","plainCitation":"[3]","noteIndex":0},"citationItems":[{"id":4876,"uris":["http://zotero.org/users/5158171/items/3APBNG3C"],"itemData":{"id":4876,"type":"article-journal","abstract":"Background:\nThe Religious Orders Study and Rush Memory and Aging Project are both ongoing longitudinal clinical-pathologic cohort studies of aging and Alzheimer’s disease (AD).\n\nObjectives:\nTo summarize progress over the past five years and its implications for understanding neurodegenerative diseases.\n\nMethods:\nParticipants in both studies are older adults who enroll without dementia and agree to detailed longitudinal clinical evaluations and organ donation. The last review summarized findings through the end of 2011. Here we summarize progress and study findings over the past five years, and discuss new directions for how these studies can inform on aging and AD in the future.\n\nResults:\nWe summarize 1) findings on the relation of neurobiology to clinical AD; 2) neurobiologic pathways linking risk factors to clinical AD; 3) non-cognitive AD phenotypes including motor function and decision making; 4) the development of a novel drug discovery platform.\n\nConclusion:\nComplexity at multiple levels needs to be understood and overcome to develop effective treatments and preventions for cognitive decline and AD dementia.","container-title":"Journal of Alzheimer's disease : JAD","DOI":"10.3233/JAD-179939","ISSN":"1387-2877","issue":"Suppl 1","journalAbbreviation":"J Alzheimers Dis","note":"PMID: 29865057\nPMCID: PMC6380522","page":"S161-S189","source":"PubMed Central","title":"Religious Orders Study and Rush Memory and Aging Project","volume":"64","author":[{"family":"Bennett","given":"David A."},{"family":"Buchman","given":"Aron S."},{"family":"Boyle","given":"Patricia A."},{"family":"Barnes","given":"Lisa L."},{"family":"Wilson","given":"Robert S."},{"family":"Schneider","given":"Julie A"}],"issued":{"date-parts":[["2018"]]}}}],"schema":"https://github.com/citation-style-language/schema/raw/master/csl-citation.json"} </w:instrText>
      </w:r>
      <w:r w:rsidR="003E1620" w:rsidRPr="002C2F74">
        <w:rPr>
          <w:rFonts w:cs="Times New Roman"/>
        </w:rPr>
        <w:fldChar w:fldCharType="separate"/>
      </w:r>
      <w:r w:rsidR="00B54D73" w:rsidRPr="002C2F74">
        <w:rPr>
          <w:rFonts w:cs="Times New Roman"/>
        </w:rPr>
        <w:t>[3]</w:t>
      </w:r>
      <w:r w:rsidR="003E1620" w:rsidRPr="002C2F74">
        <w:rPr>
          <w:rFonts w:cs="Times New Roman"/>
        </w:rPr>
        <w:fldChar w:fldCharType="end"/>
      </w:r>
      <w:r w:rsidR="009A27CF" w:rsidRPr="002C2F74">
        <w:rPr>
          <w:rFonts w:cs="Times New Roman"/>
        </w:rPr>
        <w:t xml:space="preserve">, which is </w:t>
      </w:r>
      <w:r w:rsidRPr="002C2F74">
        <w:rPr>
          <w:rFonts w:cs="Times New Roman"/>
        </w:rPr>
        <w:t xml:space="preserve">an </w:t>
      </w:r>
      <w:r w:rsidR="009A27CF" w:rsidRPr="002C2F74">
        <w:rPr>
          <w:rFonts w:cs="Times New Roman"/>
        </w:rPr>
        <w:t xml:space="preserve">earliest region </w:t>
      </w:r>
      <w:r w:rsidR="00911659" w:rsidRPr="002C2F74">
        <w:rPr>
          <w:rFonts w:cs="Times New Roman"/>
        </w:rPr>
        <w:t xml:space="preserve">affected </w:t>
      </w:r>
      <w:r w:rsidRPr="002C2F74">
        <w:rPr>
          <w:rFonts w:cs="Times New Roman"/>
        </w:rPr>
        <w:t xml:space="preserve">by </w:t>
      </w:r>
      <w:r w:rsidR="009A27CF" w:rsidRPr="002C2F74">
        <w:rPr>
          <w:rFonts w:cs="Times New Roman"/>
        </w:rPr>
        <w:t>AD</w:t>
      </w:r>
      <w:r w:rsidR="003E1620" w:rsidRPr="002C2F74">
        <w:rPr>
          <w:rFonts w:cs="Times New Roman"/>
        </w:rPr>
        <w:t xml:space="preserve"> </w:t>
      </w:r>
      <w:r w:rsidR="003E1620" w:rsidRPr="002C2F74">
        <w:rPr>
          <w:rFonts w:cs="Times New Roman"/>
        </w:rPr>
        <w:fldChar w:fldCharType="begin"/>
      </w:r>
      <w:r w:rsidR="00E66FF7" w:rsidRPr="002C2F74">
        <w:rPr>
          <w:rFonts w:cs="Times New Roman"/>
        </w:rPr>
        <w:instrText xml:space="preserve"> ADDIN ZOTERO_ITEM CSL_CITATION {"citationID":"urSsbLgO","properties":{"formattedCitation":"[6]","plainCitation":"[6]","noteIndex":0},"citationItems":[{"id":6992,"uris":["http://zotero.org/users/5158171/items/8MLI2AEU"],"itemData":{"id":6992,"type":"article-journal","abstract":"&lt;p&gt;The Religious Order Study and Memory and Aging Project (ROSMAP) is an initiative that integrates two longitudinal cohort studies, which have been collecting clinicopathological and molecular data since the early 1990s. This extensive dataset includes a wide array of omic data, revealing the complex interactions between molecular levels in neurodegenerative diseases (ND) and aging. Neurodegenerative diseases (ND) are frequently associated with morbidity and cognitive decline in older adults. Omics research, in conjunction with clinical variables, is crucial for advancing our understanding of the diagnosis and treatment of neurodegenerative diseases. This summary reviews the extensive omics research—encompassing genomics, transcriptomics, proteomics, metabolomics, epigenomics, and multiomics—conducted through the ROSMAP study. It highlights the significant advancements in understanding the mechanisms underlying neurodegenerative diseases, with a particular focus on Alzheimer's disease.&lt;/p&gt;","container-title":"Frontiers in Neuroinformatics","DOI":"10.3389/fninf.2024.1443865","ISSN":"1662-5196","journalAbbreviation":"Front. Neuroinform.","language":"English","note":"publisher: Frontiers","source":"Frontiers","title":"The ROSMAP project: aging and neurodegenerative diseases through omic sciences","title-short":"The ROSMAP project","URL":"https://www.frontiersin.org/journals/neuroinformatics/articles/10.3389/fninf.2024.1443865/full","volume":"18","author":[{"family":"Pérez-González","given":"Alejandra P."},{"family":"García-Kroepfly","given":"Aidee Lashmi"},{"family":"Pérez-Fuentes","given":"Keila Adonai"},{"family":"García-Reyes","given":"Roberto Isaac"},{"family":"Solis-Roldan","given":"Fryda Fernanda"},{"family":"Alba-González","given":"Jennifer Alejandra"},{"family":"Hernández-Lemus","given":"Enrique"},{"family":"Anda-Jáuregui","given":"Guillermo","non-dropping-particle":"de"}],"accessed":{"date-parts":[["2024",10,6]]},"issued":{"date-parts":[["2024",9,16]]}}}],"schema":"https://github.com/citation-style-language/schema/raw/master/csl-citation.json"} </w:instrText>
      </w:r>
      <w:r w:rsidR="003E1620" w:rsidRPr="002C2F74">
        <w:rPr>
          <w:rFonts w:cs="Times New Roman"/>
        </w:rPr>
        <w:fldChar w:fldCharType="separate"/>
      </w:r>
      <w:r w:rsidR="00E66FF7" w:rsidRPr="002C2F74">
        <w:rPr>
          <w:rFonts w:cs="Times New Roman"/>
        </w:rPr>
        <w:t>[6]</w:t>
      </w:r>
      <w:r w:rsidR="003E1620" w:rsidRPr="002C2F74">
        <w:rPr>
          <w:rFonts w:cs="Times New Roman"/>
        </w:rPr>
        <w:fldChar w:fldCharType="end"/>
      </w:r>
      <w:r w:rsidR="009A27CF" w:rsidRPr="002C2F74">
        <w:rPr>
          <w:rFonts w:cs="Times New Roman"/>
        </w:rPr>
        <w:t xml:space="preserve">. </w:t>
      </w:r>
      <w:r w:rsidR="00F01D85" w:rsidRPr="002C2F74">
        <w:rPr>
          <w:rFonts w:cs="Times New Roman"/>
        </w:rPr>
        <w:t xml:space="preserve">Then a filtering process </w:t>
      </w:r>
      <w:r w:rsidR="001360B7" w:rsidRPr="002C2F74">
        <w:rPr>
          <w:rFonts w:cs="Times New Roman"/>
        </w:rPr>
        <w:t xml:space="preserve">is conducted </w:t>
      </w:r>
      <w:r w:rsidR="00F01D85" w:rsidRPr="002C2F74">
        <w:rPr>
          <w:rFonts w:cs="Times New Roman"/>
        </w:rPr>
        <w:t xml:space="preserve">on these samples to remove samples meeting the following criteria: samples </w:t>
      </w:r>
      <w:r w:rsidR="009A27CF" w:rsidRPr="002C2F74">
        <w:rPr>
          <w:rFonts w:cs="Times New Roman"/>
        </w:rPr>
        <w:t xml:space="preserve">diagnosed </w:t>
      </w:r>
      <w:r w:rsidR="00F01D85" w:rsidRPr="002C2F74">
        <w:rPr>
          <w:rFonts w:cs="Times New Roman"/>
        </w:rPr>
        <w:t>as an</w:t>
      </w:r>
      <w:r w:rsidR="009A27CF" w:rsidRPr="002C2F74">
        <w:rPr>
          <w:rFonts w:cs="Times New Roman"/>
        </w:rPr>
        <w:t>other form of dementia</w:t>
      </w:r>
      <w:r w:rsidR="00F01D85" w:rsidRPr="002C2F74">
        <w:rPr>
          <w:rFonts w:cs="Times New Roman"/>
        </w:rPr>
        <w:t xml:space="preserve"> </w:t>
      </w:r>
      <w:r w:rsidR="00AC72BA" w:rsidRPr="002C2F74">
        <w:rPr>
          <w:rFonts w:cs="Times New Roman"/>
        </w:rPr>
        <w:t xml:space="preserve">by itself </w:t>
      </w:r>
      <w:r w:rsidR="00F01D85" w:rsidRPr="002C2F74">
        <w:rPr>
          <w:rFonts w:cs="Times New Roman"/>
        </w:rPr>
        <w:t xml:space="preserve">or in </w:t>
      </w:r>
      <w:r w:rsidR="000E71EF">
        <w:rPr>
          <w:rFonts w:cs="Times New Roman"/>
        </w:rPr>
        <w:t>combination with</w:t>
      </w:r>
      <w:r w:rsidR="00F01D85" w:rsidRPr="002C2F74">
        <w:rPr>
          <w:rFonts w:cs="Times New Roman"/>
        </w:rPr>
        <w:t xml:space="preserve"> AD. </w:t>
      </w:r>
      <w:r w:rsidR="00EF6E20" w:rsidRPr="002C2F74">
        <w:rPr>
          <w:rFonts w:cs="Times New Roman"/>
        </w:rPr>
        <w:t>Then a</w:t>
      </w:r>
      <w:r w:rsidR="009A27CF" w:rsidRPr="002C2F74">
        <w:rPr>
          <w:rFonts w:cs="Times New Roman"/>
        </w:rPr>
        <w:t xml:space="preserve"> quality control (QC) </w:t>
      </w:r>
      <w:r w:rsidR="00EF6E20" w:rsidRPr="002C2F74">
        <w:rPr>
          <w:rFonts w:cs="Times New Roman"/>
        </w:rPr>
        <w:t>step is executed to remove samples with low quality as defined in Methods 4.2.1, giving rise to 528 samples</w:t>
      </w:r>
      <w:r w:rsidR="000248C9" w:rsidRPr="002C2F74">
        <w:rPr>
          <w:rFonts w:cs="Times New Roman"/>
        </w:rPr>
        <w:t xml:space="preserve"> (Figures 1</w:t>
      </w:r>
      <w:r w:rsidR="000248C9" w:rsidRPr="002C2F74">
        <w:rPr>
          <w:rFonts w:cs="Times New Roman" w:hint="eastAsia"/>
        </w:rPr>
        <w:t>A</w:t>
      </w:r>
      <w:r w:rsidR="000248C9" w:rsidRPr="002C2F74">
        <w:rPr>
          <w:rFonts w:cs="Times New Roman"/>
        </w:rPr>
        <w:t>).</w:t>
      </w:r>
    </w:p>
    <w:p w14:paraId="37D5A595" w14:textId="11493EBD" w:rsidR="009A27CF" w:rsidRPr="002C2F74" w:rsidRDefault="001360B7" w:rsidP="006A54AD">
      <w:pPr>
        <w:snapToGrid w:val="0"/>
        <w:spacing w:line="276" w:lineRule="auto"/>
        <w:ind w:firstLine="420"/>
        <w:rPr>
          <w:rFonts w:cs="Times New Roman"/>
        </w:rPr>
      </w:pPr>
      <w:r w:rsidRPr="002C2F74">
        <w:rPr>
          <w:rFonts w:cs="Times New Roman"/>
        </w:rPr>
        <w:t>The raw RNA reads of each sample are assembled to full transcripts and mapped onto the reference human genome, using the methods in Methods 4.2.2.</w:t>
      </w:r>
      <w:r w:rsidR="008B6231" w:rsidRPr="002C2F74">
        <w:rPr>
          <w:rFonts w:cs="Times New Roman"/>
        </w:rPr>
        <w:t xml:space="preserve"> Then all expressed </w:t>
      </w:r>
      <w:proofErr w:type="spellStart"/>
      <w:r w:rsidR="008B6231" w:rsidRPr="002C2F74">
        <w:rPr>
          <w:rFonts w:cs="Times New Roman"/>
        </w:rPr>
        <w:t>lncRNAs</w:t>
      </w:r>
      <w:proofErr w:type="spellEnd"/>
      <w:r w:rsidR="008B6231" w:rsidRPr="002C2F74">
        <w:rPr>
          <w:rFonts w:cs="Times New Roman"/>
        </w:rPr>
        <w:t xml:space="preserve"> and splicing isof</w:t>
      </w:r>
      <w:r w:rsidR="00DF4E57" w:rsidRPr="002C2F74">
        <w:rPr>
          <w:rFonts w:cs="Times New Roman"/>
        </w:rPr>
        <w:t>or</w:t>
      </w:r>
      <w:r w:rsidR="008B6231" w:rsidRPr="002C2F74">
        <w:rPr>
          <w:rFonts w:cs="Times New Roman"/>
        </w:rPr>
        <w:t xml:space="preserve">ms are identified and extracted using </w:t>
      </w:r>
      <w:r w:rsidR="00DF4E57" w:rsidRPr="002C2F74">
        <w:rPr>
          <w:rFonts w:cs="Times New Roman"/>
        </w:rPr>
        <w:t xml:space="preserve">the </w:t>
      </w:r>
      <w:r w:rsidR="008B6231" w:rsidRPr="002C2F74">
        <w:rPr>
          <w:rFonts w:cs="Times New Roman"/>
        </w:rPr>
        <w:t>methods given in Methods 4.2.3 and 4.2.</w:t>
      </w:r>
      <w:r w:rsidR="000546D0" w:rsidRPr="002C2F74">
        <w:rPr>
          <w:rFonts w:cs="Times New Roman"/>
        </w:rPr>
        <w:t>5</w:t>
      </w:r>
      <w:r w:rsidR="00646FBD" w:rsidRPr="002C2F74">
        <w:rPr>
          <w:rFonts w:cs="Times New Roman"/>
        </w:rPr>
        <w:t xml:space="preserve"> (</w:t>
      </w:r>
      <w:r w:rsidR="006A54AD" w:rsidRPr="002C2F74">
        <w:rPr>
          <w:rFonts w:cs="Times New Roman"/>
        </w:rPr>
        <w:t xml:space="preserve">also </w:t>
      </w:r>
      <w:r w:rsidR="009A27CF" w:rsidRPr="002C2F74">
        <w:rPr>
          <w:rFonts w:cs="Times New Roman"/>
        </w:rPr>
        <w:t>Figure</w:t>
      </w:r>
      <w:r w:rsidR="004E213B" w:rsidRPr="002C2F74">
        <w:rPr>
          <w:rFonts w:cs="Times New Roman"/>
        </w:rPr>
        <w:t>s</w:t>
      </w:r>
      <w:r w:rsidR="009A27CF" w:rsidRPr="002C2F74">
        <w:rPr>
          <w:rFonts w:cs="Times New Roman"/>
        </w:rPr>
        <w:t xml:space="preserve"> 1</w:t>
      </w:r>
      <w:r w:rsidR="00384157" w:rsidRPr="002C2F74">
        <w:rPr>
          <w:rFonts w:cs="Times New Roman"/>
        </w:rPr>
        <w:t>B</w:t>
      </w:r>
      <w:r w:rsidR="006A54AD" w:rsidRPr="002C2F74">
        <w:rPr>
          <w:rFonts w:cs="Times New Roman"/>
        </w:rPr>
        <w:t xml:space="preserve"> </w:t>
      </w:r>
      <w:r w:rsidR="004E213B" w:rsidRPr="002C2F74">
        <w:rPr>
          <w:rFonts w:cs="Times New Roman"/>
        </w:rPr>
        <w:t>-</w:t>
      </w:r>
      <w:r w:rsidR="00384157" w:rsidRPr="002C2F74">
        <w:rPr>
          <w:rFonts w:cs="Times New Roman"/>
        </w:rPr>
        <w:t>C</w:t>
      </w:r>
      <w:r w:rsidR="00646FBD" w:rsidRPr="002C2F74">
        <w:rPr>
          <w:rFonts w:cs="Times New Roman"/>
        </w:rPr>
        <w:t>)</w:t>
      </w:r>
      <w:r w:rsidR="009A27CF" w:rsidRPr="002C2F74">
        <w:rPr>
          <w:rFonts w:cs="Times New Roman"/>
        </w:rPr>
        <w:t>.</w:t>
      </w:r>
    </w:p>
    <w:p w14:paraId="65FF67A6" w14:textId="300158E1" w:rsidR="00C9754A" w:rsidRPr="002C2F74" w:rsidRDefault="009A27CF" w:rsidP="00A163C1">
      <w:pPr>
        <w:snapToGrid w:val="0"/>
        <w:spacing w:line="276" w:lineRule="auto"/>
        <w:ind w:firstLine="420"/>
        <w:rPr>
          <w:rFonts w:cs="Times New Roman"/>
        </w:rPr>
      </w:pPr>
      <w:r w:rsidRPr="002C2F74">
        <w:rPr>
          <w:rFonts w:cs="Times New Roman"/>
        </w:rPr>
        <w:t xml:space="preserve">For </w:t>
      </w:r>
      <w:proofErr w:type="spellStart"/>
      <w:r w:rsidR="00C9754A" w:rsidRPr="002C2F74">
        <w:rPr>
          <w:rFonts w:cs="Times New Roman"/>
        </w:rPr>
        <w:t>lncRNA</w:t>
      </w:r>
      <w:r w:rsidRPr="002C2F74">
        <w:rPr>
          <w:rFonts w:cs="Times New Roman"/>
        </w:rPr>
        <w:t>s</w:t>
      </w:r>
      <w:proofErr w:type="spellEnd"/>
      <w:r w:rsidRPr="002C2F74">
        <w:rPr>
          <w:rFonts w:cs="Times New Roman"/>
        </w:rPr>
        <w:t xml:space="preserve">, </w:t>
      </w:r>
      <w:r w:rsidR="00C9754A" w:rsidRPr="002C2F74">
        <w:rPr>
          <w:rFonts w:cs="Times New Roman"/>
        </w:rPr>
        <w:t xml:space="preserve">we </w:t>
      </w:r>
      <w:r w:rsidR="00406C25" w:rsidRPr="002C2F74">
        <w:rPr>
          <w:rFonts w:cs="Times New Roman" w:hint="eastAsia"/>
        </w:rPr>
        <w:t>have also done</w:t>
      </w:r>
      <w:r w:rsidR="00C9754A" w:rsidRPr="002C2F74">
        <w:rPr>
          <w:rFonts w:cs="Times New Roman" w:hint="eastAsia"/>
        </w:rPr>
        <w:t xml:space="preserve"> </w:t>
      </w:r>
      <w:r w:rsidR="00C9754A" w:rsidRPr="002C2F74">
        <w:rPr>
          <w:rFonts w:cs="Times New Roman"/>
        </w:rPr>
        <w:t>the following</w:t>
      </w:r>
      <w:r w:rsidRPr="002C2F74">
        <w:rPr>
          <w:rFonts w:cs="Times New Roman"/>
        </w:rPr>
        <w:t xml:space="preserve">: 1) identification of novel </w:t>
      </w:r>
      <w:proofErr w:type="spellStart"/>
      <w:r w:rsidRPr="002C2F74">
        <w:rPr>
          <w:rFonts w:cs="Times New Roman"/>
        </w:rPr>
        <w:t>lncRNAs</w:t>
      </w:r>
      <w:proofErr w:type="spellEnd"/>
      <w:r w:rsidR="00F042CE" w:rsidRPr="002C2F74">
        <w:rPr>
          <w:rFonts w:cs="Times New Roman"/>
        </w:rPr>
        <w:t xml:space="preserve"> and classification of them as described in Methods 4.2.3</w:t>
      </w:r>
      <w:r w:rsidR="00406C25" w:rsidRPr="002C2F74">
        <w:rPr>
          <w:rFonts w:cs="Times New Roman"/>
        </w:rPr>
        <w:t xml:space="preserve">; </w:t>
      </w:r>
      <w:r w:rsidRPr="002C2F74">
        <w:rPr>
          <w:rFonts w:cs="Times New Roman"/>
        </w:rPr>
        <w:t xml:space="preserve">2) </w:t>
      </w:r>
      <w:r w:rsidR="000E71EF">
        <w:rPr>
          <w:rFonts w:cs="Times New Roman"/>
        </w:rPr>
        <w:t xml:space="preserve">regulatory </w:t>
      </w:r>
      <w:r w:rsidR="00F042CE" w:rsidRPr="002C2F74">
        <w:rPr>
          <w:rFonts w:cs="Times New Roman"/>
        </w:rPr>
        <w:t xml:space="preserve">target </w:t>
      </w:r>
      <w:r w:rsidRPr="002C2F74">
        <w:rPr>
          <w:rFonts w:cs="Times New Roman"/>
        </w:rPr>
        <w:t xml:space="preserve">prediction </w:t>
      </w:r>
      <w:r w:rsidR="00406C25" w:rsidRPr="002C2F74">
        <w:rPr>
          <w:rFonts w:cs="Times New Roman"/>
        </w:rPr>
        <w:t xml:space="preserve">for </w:t>
      </w:r>
      <w:r w:rsidR="00F042CE" w:rsidRPr="002C2F74">
        <w:rPr>
          <w:rFonts w:cs="Times New Roman"/>
        </w:rPr>
        <w:t xml:space="preserve">each </w:t>
      </w:r>
      <w:r w:rsidRPr="002C2F74">
        <w:rPr>
          <w:rFonts w:cs="Times New Roman"/>
        </w:rPr>
        <w:t xml:space="preserve">lncRNA; and 3) </w:t>
      </w:r>
      <w:r w:rsidR="00F042CE" w:rsidRPr="002C2F74">
        <w:rPr>
          <w:rFonts w:cs="Times New Roman"/>
        </w:rPr>
        <w:t>pathways possibly regulated by each</w:t>
      </w:r>
      <w:r w:rsidRPr="002C2F74">
        <w:rPr>
          <w:rFonts w:cs="Times New Roman"/>
        </w:rPr>
        <w:t xml:space="preserve"> lncRNA</w:t>
      </w:r>
      <w:r w:rsidR="00406C25" w:rsidRPr="002C2F74">
        <w:rPr>
          <w:rFonts w:cs="Times New Roman"/>
        </w:rPr>
        <w:t>, using the methods in Methods 4.2.8.</w:t>
      </w:r>
      <w:r w:rsidRPr="002C2F74">
        <w:rPr>
          <w:rFonts w:cs="Times New Roman"/>
        </w:rPr>
        <w:t xml:space="preserve"> </w:t>
      </w:r>
    </w:p>
    <w:p w14:paraId="2A79D6C3" w14:textId="59280C59" w:rsidR="00237F14" w:rsidRPr="002C2F74" w:rsidRDefault="00F042CE" w:rsidP="000263B1">
      <w:pPr>
        <w:snapToGrid w:val="0"/>
        <w:spacing w:line="276" w:lineRule="auto"/>
        <w:ind w:firstLine="420"/>
        <w:rPr>
          <w:rFonts w:cs="Times New Roman"/>
        </w:rPr>
      </w:pPr>
      <w:r w:rsidRPr="002C2F74">
        <w:rPr>
          <w:rFonts w:cs="Times New Roman"/>
        </w:rPr>
        <w:t>For each splicing variant</w:t>
      </w:r>
      <w:r w:rsidR="009A27CF" w:rsidRPr="002C2F74">
        <w:rPr>
          <w:rFonts w:cs="Times New Roman"/>
        </w:rPr>
        <w:t xml:space="preserve">, </w:t>
      </w:r>
      <w:r w:rsidRPr="002C2F74">
        <w:rPr>
          <w:rFonts w:cs="Times New Roman"/>
        </w:rPr>
        <w:t xml:space="preserve">we </w:t>
      </w:r>
      <w:r w:rsidR="000E71EF">
        <w:rPr>
          <w:rFonts w:cs="Times New Roman"/>
        </w:rPr>
        <w:t>have</w:t>
      </w:r>
      <w:r w:rsidR="000E71EF" w:rsidRPr="002C2F74">
        <w:rPr>
          <w:rFonts w:cs="Times New Roman"/>
        </w:rPr>
        <w:t xml:space="preserve"> </w:t>
      </w:r>
      <w:r w:rsidRPr="002C2F74">
        <w:rPr>
          <w:rFonts w:cs="Times New Roman"/>
        </w:rPr>
        <w:t>conduct</w:t>
      </w:r>
      <w:r w:rsidR="000E71EF">
        <w:rPr>
          <w:rFonts w:cs="Times New Roman"/>
        </w:rPr>
        <w:t>ed</w:t>
      </w:r>
      <w:r w:rsidRPr="002C2F74">
        <w:rPr>
          <w:rFonts w:cs="Times New Roman"/>
        </w:rPr>
        <w:t xml:space="preserve"> </w:t>
      </w:r>
      <w:r w:rsidR="009A27CF" w:rsidRPr="002C2F74">
        <w:rPr>
          <w:rFonts w:cs="Times New Roman"/>
        </w:rPr>
        <w:t xml:space="preserve">functional </w:t>
      </w:r>
      <w:r w:rsidRPr="002C2F74">
        <w:rPr>
          <w:rFonts w:cs="Times New Roman"/>
        </w:rPr>
        <w:t>(</w:t>
      </w:r>
      <w:r w:rsidR="009A27CF" w:rsidRPr="002C2F74">
        <w:rPr>
          <w:rFonts w:cs="Times New Roman"/>
        </w:rPr>
        <w:t>re-</w:t>
      </w:r>
      <w:r w:rsidRPr="002C2F74">
        <w:rPr>
          <w:rFonts w:cs="Times New Roman"/>
        </w:rPr>
        <w:t>)</w:t>
      </w:r>
      <w:r w:rsidR="009A27CF" w:rsidRPr="002C2F74">
        <w:rPr>
          <w:rFonts w:cs="Times New Roman"/>
        </w:rPr>
        <w:t>annotation</w:t>
      </w:r>
      <w:r w:rsidR="00A14D83" w:rsidRPr="002C2F74">
        <w:rPr>
          <w:rFonts w:cs="Times New Roman"/>
        </w:rPr>
        <w:t xml:space="preserve"> as follows.</w:t>
      </w:r>
      <w:r w:rsidR="00E512D8" w:rsidRPr="002C2F74">
        <w:rPr>
          <w:rFonts w:cs="Times New Roman"/>
        </w:rPr>
        <w:t xml:space="preserve"> Search protein sequence database </w:t>
      </w:r>
      <w:r w:rsidR="00B54D73" w:rsidRPr="002C2F74">
        <w:rPr>
          <w:rFonts w:cs="Times New Roman"/>
        </w:rPr>
        <w:fldChar w:fldCharType="begin"/>
      </w:r>
      <w:r w:rsidR="00FD6EBC" w:rsidRPr="002C2F74">
        <w:rPr>
          <w:rFonts w:cs="Times New Roman"/>
        </w:rPr>
        <w:instrText xml:space="preserve"> ADDIN ZOTERO_ITEM CSL_CITATION {"citationID":"RW1pNsCi","properties":{"formattedCitation":"[11]","plainCitation":"[11]","noteIndex":0},"citationItems":[{"id":5740,"uris":["http://zotero.org/users/5158171/items/YMTZM36B"],"itemData":{"id":5740,"type":"article-journal","abstract":"eggNOG is a public database of orthology relationships, gene evolutionary histories and functional annotations. Here, we present version 5.0, featuring a major update of the underlying genome sets, which have been expanded to 4445 representative bacteria and 168 archaea derived from 25 038 genomes, as well as 477 eukaryotic organisms and 2502 viral proteomes that were selected for diversity and filtered by genome quality. In total, 4.4M orthologous groups (OGs) distributed across 379 taxonomic levels were computed together with their associated sequence alignments, phylogenies, HMM models and functional descriptors. Precomputed evolutionary analysis provides fine-grained resolution of duplication/speciation events within each OG. Our benchmarks show that, despite doubling the amount of genomes, the quality of orthology assignments and functional annotations (80% coverage) has persisted without significant changes across this update. Finally, we improved eggNOG online services for fast functional annotation and orthology prediction of custom genomics or metagenomics datasets. All precomputed data are publicly available for downloading or via API queries at http://eggnog.embl.de","container-title":"Nucleic Acids Research","DOI":"10.1093/nar/gky1085","ISSN":"0305-1048","issue":"Database issue","journalAbbreviation":"Nucleic Acids Res","note":"PMID: 30418610\nPMCID: PMC6324079","page":"D309-D314","source":"PubMed Central","title":"eggNOG 5.0: a hierarchical, functionally and phylogenetically annotated orthology resource based on 5090 organisms and 2502 viruses","title-short":"eggNOG 5.0","volume":"47","author":[{"family":"Huerta-Cepas","given":"Jaime"},{"family":"Szklarczyk","given":"Damian"},{"family":"Heller","given":"Davide"},{"family":"Hernández-Plaza","given":"Ana"},{"family":"Forslund","given":"Sofia K"},{"family":"Cook","given":"Helen"},{"family":"Mende","given":"Daniel R"},{"family":"Letunic","given":"Ivica"},{"family":"Rattei","given":"Thomas"},{"family":"Jensen","given":"Lars J"},{"family":"von Mering","given":"Christian"},{"family":"Bork","given":"Peer"}],"issued":{"date-parts":[["2019",1,8]]}}}],"schema":"https://github.com/citation-style-language/schema/raw/master/csl-citation.json"} </w:instrText>
      </w:r>
      <w:r w:rsidR="00B54D73" w:rsidRPr="002C2F74">
        <w:rPr>
          <w:rFonts w:cs="Times New Roman"/>
        </w:rPr>
        <w:fldChar w:fldCharType="separate"/>
      </w:r>
      <w:r w:rsidR="00FD6EBC" w:rsidRPr="002C2F74">
        <w:rPr>
          <w:rFonts w:cs="Times New Roman"/>
        </w:rPr>
        <w:t>[11]</w:t>
      </w:r>
      <w:r w:rsidR="00B54D73" w:rsidRPr="002C2F74">
        <w:rPr>
          <w:rFonts w:cs="Times New Roman"/>
        </w:rPr>
        <w:fldChar w:fldCharType="end"/>
      </w:r>
      <w:r w:rsidR="00E512D8" w:rsidRPr="002C2F74">
        <w:rPr>
          <w:rFonts w:cs="Times New Roman"/>
        </w:rPr>
        <w:t xml:space="preserve"> to find </w:t>
      </w:r>
      <w:r w:rsidR="000E71EF">
        <w:rPr>
          <w:rFonts w:cs="Times New Roman"/>
        </w:rPr>
        <w:t>the closest</w:t>
      </w:r>
      <w:r w:rsidR="000E71EF" w:rsidRPr="002C2F74">
        <w:rPr>
          <w:rFonts w:cs="Times New Roman"/>
        </w:rPr>
        <w:t xml:space="preserve"> </w:t>
      </w:r>
      <w:r w:rsidR="00E512D8" w:rsidRPr="002C2F74">
        <w:rPr>
          <w:rFonts w:cs="Times New Roman"/>
        </w:rPr>
        <w:t>homolog</w:t>
      </w:r>
      <w:r w:rsidR="00CF6B5A" w:rsidRPr="002C2F74">
        <w:rPr>
          <w:rFonts w:cs="Times New Roman"/>
        </w:rPr>
        <w:t>, in human or another organism,</w:t>
      </w:r>
      <w:r w:rsidR="00E512D8" w:rsidRPr="002C2F74">
        <w:rPr>
          <w:rFonts w:cs="Times New Roman"/>
        </w:rPr>
        <w:t xml:space="preserve"> that has no </w:t>
      </w:r>
      <w:r w:rsidR="00F27686" w:rsidRPr="002C2F74">
        <w:rPr>
          <w:rFonts w:cs="Times New Roman" w:hint="eastAsia"/>
        </w:rPr>
        <w:t>other</w:t>
      </w:r>
      <w:r w:rsidR="00F27686" w:rsidRPr="002C2F74">
        <w:rPr>
          <w:rFonts w:cs="Times New Roman"/>
        </w:rPr>
        <w:t xml:space="preserve"> </w:t>
      </w:r>
      <w:r w:rsidR="00CF6B5A" w:rsidRPr="002C2F74">
        <w:rPr>
          <w:rFonts w:cs="Times New Roman"/>
        </w:rPr>
        <w:t xml:space="preserve">transcript </w:t>
      </w:r>
      <w:r w:rsidR="000E71EF">
        <w:rPr>
          <w:rFonts w:cs="Times New Roman"/>
        </w:rPr>
        <w:t xml:space="preserve">in our assembled dataset </w:t>
      </w:r>
      <w:r w:rsidR="00F27686" w:rsidRPr="002C2F74">
        <w:rPr>
          <w:rFonts w:cs="Times New Roman"/>
        </w:rPr>
        <w:t>being assigned</w:t>
      </w:r>
      <w:r w:rsidR="00CF6B5A" w:rsidRPr="002C2F74">
        <w:rPr>
          <w:rFonts w:cs="Times New Roman"/>
        </w:rPr>
        <w:t xml:space="preserve"> </w:t>
      </w:r>
      <w:r w:rsidR="000E71EF">
        <w:rPr>
          <w:rFonts w:cs="Times New Roman"/>
        </w:rPr>
        <w:t>to</w:t>
      </w:r>
      <w:r w:rsidR="000E71EF" w:rsidRPr="002C2F74">
        <w:rPr>
          <w:rFonts w:cs="Times New Roman"/>
        </w:rPr>
        <w:t xml:space="preserve"> </w:t>
      </w:r>
      <w:r w:rsidR="000E71EF">
        <w:rPr>
          <w:rFonts w:cs="Times New Roman"/>
        </w:rPr>
        <w:t>its</w:t>
      </w:r>
      <w:r w:rsidR="00CF6B5A" w:rsidRPr="002C2F74">
        <w:rPr>
          <w:rFonts w:cs="Times New Roman"/>
        </w:rPr>
        <w:t xml:space="preserve"> function</w:t>
      </w:r>
      <w:r w:rsidR="000E71EF">
        <w:rPr>
          <w:rFonts w:cs="Times New Roman"/>
        </w:rPr>
        <w:t xml:space="preserve"> – this guarantees no two splicing variants being assigned to the same function</w:t>
      </w:r>
      <w:r w:rsidR="00CF6B5A" w:rsidRPr="002C2F74">
        <w:rPr>
          <w:rFonts w:cs="Times New Roman"/>
        </w:rPr>
        <w:t xml:space="preserve">. </w:t>
      </w:r>
      <w:r w:rsidR="00CB43CE" w:rsidRPr="002C2F74">
        <w:rPr>
          <w:rFonts w:cs="Times New Roman"/>
        </w:rPr>
        <w:t xml:space="preserve">The following summarizes the </w:t>
      </w:r>
      <w:r w:rsidR="0044796E">
        <w:rPr>
          <w:rFonts w:cs="Times New Roman"/>
        </w:rPr>
        <w:t>transcripts</w:t>
      </w:r>
      <w:r w:rsidR="00886BD9" w:rsidRPr="002C2F74">
        <w:rPr>
          <w:rFonts w:cs="Times New Roman"/>
        </w:rPr>
        <w:t xml:space="preserve"> </w:t>
      </w:r>
      <w:r w:rsidR="0044796E">
        <w:rPr>
          <w:rFonts w:cs="Times New Roman"/>
        </w:rPr>
        <w:t>we assembled</w:t>
      </w:r>
      <w:r w:rsidR="00886BD9" w:rsidRPr="002C2F74">
        <w:rPr>
          <w:rFonts w:cs="Times New Roman"/>
        </w:rPr>
        <w:t>:</w:t>
      </w:r>
    </w:p>
    <w:p w14:paraId="58C46978" w14:textId="3F9D8419" w:rsidR="009A27CF" w:rsidRPr="002C2F74" w:rsidRDefault="009246B1" w:rsidP="00F042CE">
      <w:pPr>
        <w:snapToGrid w:val="0"/>
        <w:spacing w:line="276" w:lineRule="auto"/>
        <w:ind w:firstLine="420"/>
        <w:rPr>
          <w:rFonts w:cs="Times New Roman"/>
        </w:rPr>
      </w:pPr>
      <w:r w:rsidRPr="002C2F74">
        <w:rPr>
          <w:rFonts w:cs="Times New Roman"/>
        </w:rPr>
        <w:t xml:space="preserve">The </w:t>
      </w:r>
      <w:r w:rsidR="00CB43CE" w:rsidRPr="002C2F74">
        <w:rPr>
          <w:rFonts w:cs="Times New Roman" w:hint="eastAsia"/>
        </w:rPr>
        <w:t>computer</w:t>
      </w:r>
      <w:r w:rsidRPr="002C2F74">
        <w:rPr>
          <w:rFonts w:cs="Times New Roman"/>
        </w:rPr>
        <w:t xml:space="preserve"> code </w:t>
      </w:r>
      <w:r w:rsidR="00CB43CE" w:rsidRPr="002C2F74">
        <w:rPr>
          <w:rFonts w:cs="Times New Roman"/>
        </w:rPr>
        <w:t xml:space="preserve">for data generation </w:t>
      </w:r>
      <w:r w:rsidRPr="002C2F74">
        <w:rPr>
          <w:rFonts w:cs="Times New Roman"/>
        </w:rPr>
        <w:t xml:space="preserve">is available at </w:t>
      </w:r>
      <w:hyperlink r:id="rId9" w:tgtFrame="_new" w:history="1">
        <w:r w:rsidRPr="002C2F74">
          <w:rPr>
            <w:rStyle w:val="ae"/>
            <w:rFonts w:cs="Times New Roman"/>
          </w:rPr>
          <w:t>https://github.com/zhenyuh19/A-Model-for-the-Development-of-Alzheimer-s-Disease</w:t>
        </w:r>
      </w:hyperlink>
      <w:r w:rsidRPr="002C2F74">
        <w:rPr>
          <w:rFonts w:cs="Times New Roman"/>
        </w:rPr>
        <w:t>.</w:t>
      </w:r>
    </w:p>
    <w:p w14:paraId="0764A0ED" w14:textId="77777777" w:rsidR="009A27CF" w:rsidRPr="002C2F74" w:rsidRDefault="009A27CF" w:rsidP="00A163C1">
      <w:pPr>
        <w:snapToGrid w:val="0"/>
        <w:spacing w:line="276" w:lineRule="auto"/>
        <w:rPr>
          <w:rFonts w:cs="Times New Roman"/>
        </w:rPr>
      </w:pPr>
    </w:p>
    <w:p w14:paraId="1192555E" w14:textId="1F7E7898" w:rsidR="00A163C1" w:rsidRPr="002C2F74" w:rsidRDefault="009E5412" w:rsidP="00886BD9">
      <w:pPr>
        <w:snapToGrid w:val="0"/>
        <w:spacing w:line="276" w:lineRule="auto"/>
        <w:rPr>
          <w:rFonts w:cs="Times New Roman"/>
        </w:rPr>
      </w:pPr>
      <w:r w:rsidRPr="002C2F74">
        <w:rPr>
          <w:rFonts w:cs="Times New Roman"/>
          <w:b/>
          <w:bCs/>
        </w:rPr>
        <w:t xml:space="preserve">2.2 </w:t>
      </w:r>
      <w:r w:rsidR="00886BD9" w:rsidRPr="002C2F74">
        <w:rPr>
          <w:rFonts w:cs="Times New Roman"/>
          <w:b/>
          <w:bCs/>
        </w:rPr>
        <w:t xml:space="preserve">Information </w:t>
      </w:r>
      <w:proofErr w:type="gramStart"/>
      <w:r w:rsidR="00886BD9" w:rsidRPr="002C2F74">
        <w:rPr>
          <w:rFonts w:cs="Times New Roman"/>
          <w:b/>
          <w:bCs/>
        </w:rPr>
        <w:t>derivation</w:t>
      </w:r>
      <w:proofErr w:type="gramEnd"/>
      <w:r w:rsidR="00886BD9" w:rsidRPr="002C2F74">
        <w:rPr>
          <w:rFonts w:cs="Times New Roman"/>
          <w:b/>
          <w:bCs/>
        </w:rPr>
        <w:t xml:space="preserve"> from the assembled transcripts</w:t>
      </w:r>
    </w:p>
    <w:p w14:paraId="3F7EC27A" w14:textId="33081420" w:rsidR="00DC3980" w:rsidRPr="002C2F74" w:rsidRDefault="00A53716" w:rsidP="003B68D1">
      <w:pPr>
        <w:snapToGrid w:val="0"/>
        <w:spacing w:line="276" w:lineRule="auto"/>
        <w:ind w:firstLine="420"/>
        <w:rPr>
          <w:rFonts w:cs="Times New Roman"/>
        </w:rPr>
      </w:pPr>
      <w:r w:rsidRPr="002C2F74">
        <w:rPr>
          <w:rFonts w:cs="Times New Roman"/>
        </w:rPr>
        <w:t xml:space="preserve">To explore how alternative splicing </w:t>
      </w:r>
      <w:r w:rsidR="001C6B1C" w:rsidRPr="002C2F74">
        <w:rPr>
          <w:rFonts w:cs="Times New Roman"/>
        </w:rPr>
        <w:t xml:space="preserve">events </w:t>
      </w:r>
      <w:r w:rsidRPr="002C2F74">
        <w:rPr>
          <w:rFonts w:cs="Times New Roman"/>
        </w:rPr>
        <w:t xml:space="preserve">and </w:t>
      </w:r>
      <w:r w:rsidR="004E34E2" w:rsidRPr="002C2F74">
        <w:rPr>
          <w:rFonts w:cs="Times New Roman"/>
        </w:rPr>
        <w:t xml:space="preserve">isoform </w:t>
      </w:r>
      <w:r w:rsidRPr="002C2F74">
        <w:rPr>
          <w:rFonts w:cs="Times New Roman"/>
        </w:rPr>
        <w:t xml:space="preserve">usage </w:t>
      </w:r>
      <w:r w:rsidR="00555280" w:rsidRPr="002C2F74">
        <w:rPr>
          <w:rFonts w:cs="Times New Roman"/>
        </w:rPr>
        <w:t>differs</w:t>
      </w:r>
      <w:r w:rsidRPr="002C2F74">
        <w:rPr>
          <w:rFonts w:cs="Times New Roman"/>
        </w:rPr>
        <w:t xml:space="preserve"> between normal and </w:t>
      </w:r>
      <w:r w:rsidR="000F02DD">
        <w:rPr>
          <w:rFonts w:cs="Times New Roman"/>
        </w:rPr>
        <w:t>MCI/AD</w:t>
      </w:r>
      <w:r w:rsidR="000F02DD" w:rsidRPr="002C2F74">
        <w:rPr>
          <w:rFonts w:cs="Times New Roman"/>
        </w:rPr>
        <w:t xml:space="preserve"> </w:t>
      </w:r>
      <w:r w:rsidRPr="002C2F74">
        <w:rPr>
          <w:rFonts w:cs="Times New Roman"/>
        </w:rPr>
        <w:t xml:space="preserve">samples, we first analyzed the genomic distribution of </w:t>
      </w:r>
      <w:r w:rsidR="000F02DD">
        <w:rPr>
          <w:rFonts w:cs="Times New Roman"/>
        </w:rPr>
        <w:t xml:space="preserve">all the </w:t>
      </w:r>
      <w:r w:rsidRPr="002C2F74">
        <w:rPr>
          <w:rFonts w:cs="Times New Roman"/>
        </w:rPr>
        <w:t>assembled transcripts.</w:t>
      </w:r>
    </w:p>
    <w:p w14:paraId="43C93749" w14:textId="5E475CA5" w:rsidR="009E5412" w:rsidRPr="002C2F74" w:rsidRDefault="00886BD9" w:rsidP="00E83805">
      <w:pPr>
        <w:snapToGrid w:val="0"/>
        <w:spacing w:line="276" w:lineRule="auto"/>
        <w:ind w:firstLine="420"/>
        <w:rPr>
          <w:rFonts w:cs="Times New Roman"/>
        </w:rPr>
      </w:pPr>
      <w:r w:rsidRPr="002C2F74">
        <w:rPr>
          <w:rFonts w:cs="Times New Roman"/>
          <w:b/>
          <w:bCs/>
        </w:rPr>
        <w:t>Genomic locations of the assembled transcripts</w:t>
      </w:r>
      <w:r w:rsidRPr="002C2F74">
        <w:rPr>
          <w:rFonts w:cs="Times New Roman"/>
        </w:rPr>
        <w:t>: W</w:t>
      </w:r>
      <w:r w:rsidR="009E5412" w:rsidRPr="002C2F74">
        <w:rPr>
          <w:rFonts w:cs="Times New Roman"/>
        </w:rPr>
        <w:t xml:space="preserve">e </w:t>
      </w:r>
      <w:r w:rsidR="000F02DD">
        <w:rPr>
          <w:rFonts w:cs="Times New Roman"/>
        </w:rPr>
        <w:t xml:space="preserve">have </w:t>
      </w:r>
      <w:r w:rsidR="0028143D" w:rsidRPr="002C2F74">
        <w:rPr>
          <w:rFonts w:cs="Times New Roman"/>
        </w:rPr>
        <w:t>examined</w:t>
      </w:r>
      <w:r w:rsidR="009E5412" w:rsidRPr="002C2F74">
        <w:rPr>
          <w:rFonts w:cs="Times New Roman"/>
        </w:rPr>
        <w:t xml:space="preserve"> the distribution of sequencing reads across different genomic locations. </w:t>
      </w:r>
      <w:r w:rsidR="000F02DD">
        <w:rPr>
          <w:rFonts w:cs="Times New Roman"/>
        </w:rPr>
        <w:t>We note</w:t>
      </w:r>
      <w:r w:rsidR="009E5412" w:rsidRPr="002C2F74">
        <w:rPr>
          <w:rFonts w:cs="Times New Roman"/>
        </w:rPr>
        <w:t xml:space="preserve"> that, in both normal and </w:t>
      </w:r>
      <w:r w:rsidR="00E83805" w:rsidRPr="002C2F74">
        <w:rPr>
          <w:rFonts w:cs="Times New Roman"/>
        </w:rPr>
        <w:t xml:space="preserve">the disease </w:t>
      </w:r>
      <w:r w:rsidR="009E5412" w:rsidRPr="002C2F74">
        <w:rPr>
          <w:rFonts w:cs="Times New Roman"/>
        </w:rPr>
        <w:t xml:space="preserve">samples, </w:t>
      </w:r>
      <w:r w:rsidR="00E83805" w:rsidRPr="002C2F74">
        <w:rPr>
          <w:rFonts w:cs="Times New Roman"/>
        </w:rPr>
        <w:t>47.06%, 28.14%, 18.83% and 5.97% of the RNA reads</w:t>
      </w:r>
      <w:r w:rsidR="009E5412" w:rsidRPr="002C2F74">
        <w:rPr>
          <w:rFonts w:cs="Times New Roman"/>
        </w:rPr>
        <w:t xml:space="preserve"> were </w:t>
      </w:r>
      <w:r w:rsidR="00E83805" w:rsidRPr="002C2F74">
        <w:rPr>
          <w:rFonts w:cs="Times New Roman"/>
        </w:rPr>
        <w:t xml:space="preserve">mapped </w:t>
      </w:r>
      <w:r w:rsidR="009E5412" w:rsidRPr="002C2F74">
        <w:rPr>
          <w:rFonts w:cs="Times New Roman"/>
        </w:rPr>
        <w:t>to the coding sequence (CDS), introns, the 3' untranslated regions (UTRs)</w:t>
      </w:r>
      <w:r w:rsidR="000F02DD">
        <w:rPr>
          <w:rFonts w:cs="Times New Roman"/>
        </w:rPr>
        <w:t>,</w:t>
      </w:r>
      <w:r w:rsidR="009E5412" w:rsidRPr="002C2F74">
        <w:rPr>
          <w:rFonts w:cs="Times New Roman"/>
        </w:rPr>
        <w:t xml:space="preserve"> </w:t>
      </w:r>
      <w:r w:rsidR="00E83805" w:rsidRPr="002C2F74">
        <w:rPr>
          <w:rFonts w:cs="Times New Roman"/>
        </w:rPr>
        <w:t xml:space="preserve">and </w:t>
      </w:r>
      <w:r w:rsidR="004E34E2" w:rsidRPr="002C2F74">
        <w:rPr>
          <w:rFonts w:cs="Times New Roman"/>
        </w:rPr>
        <w:t xml:space="preserve">the </w:t>
      </w:r>
      <w:r w:rsidR="009E5412" w:rsidRPr="002C2F74">
        <w:rPr>
          <w:rFonts w:cs="Times New Roman"/>
        </w:rPr>
        <w:t xml:space="preserve">upstream regions </w:t>
      </w:r>
      <w:r w:rsidR="00E83805" w:rsidRPr="002C2F74">
        <w:rPr>
          <w:rFonts w:cs="Times New Roman"/>
        </w:rPr>
        <w:t>(</w:t>
      </w:r>
      <w:r w:rsidR="009E5412" w:rsidRPr="002C2F74">
        <w:rPr>
          <w:rFonts w:cs="Times New Roman"/>
        </w:rPr>
        <w:t>10K bases</w:t>
      </w:r>
      <w:r w:rsidR="00E83805" w:rsidRPr="002C2F74">
        <w:rPr>
          <w:rFonts w:cs="Times New Roman"/>
        </w:rPr>
        <w:t>)</w:t>
      </w:r>
      <w:r w:rsidR="009E5412" w:rsidRPr="002C2F74">
        <w:rPr>
          <w:rFonts w:cs="Times New Roman"/>
        </w:rPr>
        <w:t xml:space="preserve"> of transcription start sites (TSS) (Figure 2A).</w:t>
      </w:r>
    </w:p>
    <w:p w14:paraId="531ED224" w14:textId="684542E8" w:rsidR="005311BB" w:rsidRPr="002C2F74" w:rsidRDefault="005311BB" w:rsidP="00E83805">
      <w:pPr>
        <w:snapToGrid w:val="0"/>
        <w:spacing w:line="276" w:lineRule="auto"/>
        <w:ind w:firstLine="420"/>
        <w:rPr>
          <w:rFonts w:cs="Times New Roman"/>
        </w:rPr>
      </w:pPr>
      <w:r w:rsidRPr="002C2F74">
        <w:rPr>
          <w:rFonts w:cs="Times New Roman" w:hint="eastAsia"/>
        </w:rPr>
        <w:t xml:space="preserve">When </w:t>
      </w:r>
      <w:r w:rsidRPr="002C2F74">
        <w:rPr>
          <w:rFonts w:cs="Times New Roman"/>
        </w:rPr>
        <w:t>looking the two disease groups, MCI and AD, separately, some difference</w:t>
      </w:r>
      <w:r w:rsidRPr="002C2F74">
        <w:rPr>
          <w:rFonts w:cs="Times New Roman" w:hint="eastAsia"/>
        </w:rPr>
        <w:t>s</w:t>
      </w:r>
      <w:r w:rsidRPr="002C2F74">
        <w:rPr>
          <w:rFonts w:cs="Times New Roman"/>
        </w:rPr>
        <w:t xml:space="preserve"> are observed. We note that (</w:t>
      </w:r>
      <w:proofErr w:type="spellStart"/>
      <w:r w:rsidR="000F02DD">
        <w:rPr>
          <w:rFonts w:cs="Times New Roman"/>
        </w:rPr>
        <w:t>i</w:t>
      </w:r>
      <w:proofErr w:type="spellEnd"/>
      <w:r w:rsidRPr="002C2F74">
        <w:rPr>
          <w:rFonts w:cs="Times New Roman"/>
        </w:rPr>
        <w:t xml:space="preserve">) </w:t>
      </w:r>
      <w:r w:rsidR="0040064F" w:rsidRPr="002C2F74">
        <w:rPr>
          <w:rFonts w:cs="Times New Roman" w:hint="eastAsia"/>
        </w:rPr>
        <w:t>18.131</w:t>
      </w:r>
      <w:r w:rsidRPr="002C2F74">
        <w:rPr>
          <w:rFonts w:cs="Times New Roman"/>
        </w:rPr>
        <w:t xml:space="preserve">% and </w:t>
      </w:r>
      <w:r w:rsidR="0040064F" w:rsidRPr="002C2F74">
        <w:rPr>
          <w:rFonts w:cs="Times New Roman" w:hint="eastAsia"/>
        </w:rPr>
        <w:t>18.225</w:t>
      </w:r>
      <w:r w:rsidRPr="002C2F74">
        <w:rPr>
          <w:rFonts w:cs="Times New Roman"/>
        </w:rPr>
        <w:t>% of MCI and AD are mapped to intronic regions</w:t>
      </w:r>
      <w:r w:rsidR="007F44F4" w:rsidRPr="002C2F74">
        <w:rPr>
          <w:rFonts w:cs="Times New Roman"/>
        </w:rPr>
        <w:t>; and (</w:t>
      </w:r>
      <w:r w:rsidR="000F02DD">
        <w:rPr>
          <w:rFonts w:cs="Times New Roman"/>
        </w:rPr>
        <w:t>ii</w:t>
      </w:r>
      <w:r w:rsidR="007F44F4" w:rsidRPr="002C2F74">
        <w:rPr>
          <w:rFonts w:cs="Times New Roman"/>
        </w:rPr>
        <w:t xml:space="preserve">) </w:t>
      </w:r>
      <w:r w:rsidR="0040064F" w:rsidRPr="002C2F74">
        <w:rPr>
          <w:rFonts w:cs="Times New Roman" w:hint="eastAsia"/>
        </w:rPr>
        <w:t>28.596</w:t>
      </w:r>
      <w:r w:rsidR="007F44F4" w:rsidRPr="002C2F74">
        <w:rPr>
          <w:rFonts w:cs="Times New Roman"/>
        </w:rPr>
        <w:t xml:space="preserve">% </w:t>
      </w:r>
      <w:r w:rsidR="007F44F4" w:rsidRPr="002C2F74">
        <w:rPr>
          <w:rFonts w:cs="Times New Roman"/>
        </w:rPr>
        <w:lastRenderedPageBreak/>
        <w:t xml:space="preserve">and </w:t>
      </w:r>
      <w:r w:rsidR="0040064F" w:rsidRPr="002C2F74">
        <w:rPr>
          <w:rFonts w:cs="Times New Roman" w:hint="eastAsia"/>
        </w:rPr>
        <w:t>27.8825</w:t>
      </w:r>
      <w:r w:rsidR="007F44F4" w:rsidRPr="002C2F74">
        <w:rPr>
          <w:rFonts w:cs="Times New Roman"/>
        </w:rPr>
        <w:t>% of MCI and AD are mapped to 3' UTR regions.</w:t>
      </w:r>
    </w:p>
    <w:p w14:paraId="490D5AB5" w14:textId="2E3FC5FC" w:rsidR="009E5412" w:rsidRPr="002C2F74" w:rsidRDefault="009E5412" w:rsidP="00A163C1">
      <w:pPr>
        <w:snapToGrid w:val="0"/>
        <w:spacing w:line="276" w:lineRule="auto"/>
        <w:ind w:firstLine="420"/>
        <w:rPr>
          <w:rFonts w:cs="Times New Roman"/>
        </w:rPr>
      </w:pPr>
      <w:r w:rsidRPr="002C2F74">
        <w:rPr>
          <w:rFonts w:cs="Times New Roman"/>
        </w:rPr>
        <w:t xml:space="preserve">Further examination of read coverage across different disease groups showed notable </w:t>
      </w:r>
      <w:r w:rsidR="004E34E2" w:rsidRPr="002C2F74">
        <w:rPr>
          <w:rFonts w:cs="Times New Roman"/>
        </w:rPr>
        <w:t>differences</w:t>
      </w:r>
      <w:r w:rsidRPr="002C2F74">
        <w:rPr>
          <w:rFonts w:cs="Times New Roman"/>
        </w:rPr>
        <w:t>. Specifically, intronic coverage progressively increase</w:t>
      </w:r>
      <w:r w:rsidR="000F02DD">
        <w:rPr>
          <w:rFonts w:cs="Times New Roman"/>
        </w:rPr>
        <w:t>s</w:t>
      </w:r>
      <w:r w:rsidRPr="002C2F74">
        <w:rPr>
          <w:rFonts w:cs="Times New Roman"/>
        </w:rPr>
        <w:t xml:space="preserve"> from</w:t>
      </w:r>
      <w:r w:rsidR="000F02DD">
        <w:rPr>
          <w:rFonts w:cs="Times New Roman"/>
        </w:rPr>
        <w:t xml:space="preserve"> the</w:t>
      </w:r>
      <w:r w:rsidRPr="002C2F74">
        <w:rPr>
          <w:rFonts w:cs="Times New Roman"/>
        </w:rPr>
        <w:t xml:space="preserve"> normal to AD samples, with significant differences: MCI </w:t>
      </w:r>
      <w:r w:rsidR="000F02DD">
        <w:rPr>
          <w:rFonts w:cs="Times New Roman"/>
        </w:rPr>
        <w:t>samples</w:t>
      </w:r>
      <w:r w:rsidR="000F02DD" w:rsidRPr="002C2F74">
        <w:rPr>
          <w:rFonts w:cs="Times New Roman"/>
        </w:rPr>
        <w:t xml:space="preserve"> </w:t>
      </w:r>
      <w:r w:rsidRPr="002C2F74">
        <w:rPr>
          <w:rFonts w:cs="Times New Roman"/>
        </w:rPr>
        <w:t>vs</w:t>
      </w:r>
      <w:r w:rsidR="000F02DD">
        <w:rPr>
          <w:rFonts w:cs="Times New Roman"/>
        </w:rPr>
        <w:t>.</w:t>
      </w:r>
      <w:r w:rsidRPr="002C2F74">
        <w:rPr>
          <w:rFonts w:cs="Times New Roman"/>
        </w:rPr>
        <w:t xml:space="preserve"> normal </w:t>
      </w:r>
      <w:r w:rsidR="000F02DD">
        <w:rPr>
          <w:rFonts w:cs="Times New Roman"/>
        </w:rPr>
        <w:t>controls having</w:t>
      </w:r>
      <w:r w:rsidR="000F02DD" w:rsidRPr="002C2F74">
        <w:rPr>
          <w:rFonts w:cs="Times New Roman"/>
        </w:rPr>
        <w:t xml:space="preserve"> </w:t>
      </w:r>
      <w:r w:rsidRPr="002C2F74">
        <w:rPr>
          <w:rFonts w:cs="Times New Roman"/>
        </w:rPr>
        <w:t xml:space="preserve">a p-value 0.082, while the AD </w:t>
      </w:r>
      <w:r w:rsidR="000F02DD">
        <w:rPr>
          <w:rFonts w:cs="Times New Roman"/>
        </w:rPr>
        <w:t>samples</w:t>
      </w:r>
      <w:r w:rsidR="000F02DD" w:rsidRPr="002C2F74">
        <w:rPr>
          <w:rFonts w:cs="Times New Roman"/>
        </w:rPr>
        <w:t xml:space="preserve"> </w:t>
      </w:r>
      <w:r w:rsidRPr="002C2F74">
        <w:rPr>
          <w:rFonts w:cs="Times New Roman"/>
        </w:rPr>
        <w:t>vs</w:t>
      </w:r>
      <w:r w:rsidR="000F02DD">
        <w:rPr>
          <w:rFonts w:cs="Times New Roman"/>
        </w:rPr>
        <w:t>.</w:t>
      </w:r>
      <w:r w:rsidRPr="002C2F74">
        <w:rPr>
          <w:rFonts w:cs="Times New Roman"/>
        </w:rPr>
        <w:t xml:space="preserve"> normal</w:t>
      </w:r>
      <w:r w:rsidR="000F02DD">
        <w:rPr>
          <w:rFonts w:cs="Times New Roman"/>
        </w:rPr>
        <w:t xml:space="preserve"> controls</w:t>
      </w:r>
      <w:r w:rsidRPr="002C2F74">
        <w:rPr>
          <w:rFonts w:cs="Times New Roman"/>
        </w:rPr>
        <w:t xml:space="preserve"> </w:t>
      </w:r>
      <w:r w:rsidR="000F02DD">
        <w:rPr>
          <w:rFonts w:cs="Times New Roman"/>
        </w:rPr>
        <w:t>having</w:t>
      </w:r>
      <w:r w:rsidR="000F02DD" w:rsidRPr="002C2F74">
        <w:rPr>
          <w:rFonts w:cs="Times New Roman"/>
        </w:rPr>
        <w:t xml:space="preserve"> </w:t>
      </w:r>
      <w:r w:rsidRPr="002C2F74">
        <w:rPr>
          <w:rFonts w:cs="Times New Roman"/>
        </w:rPr>
        <w:t xml:space="preserve">a p-value 0.04 (Figure 2B). For the 3' UTR regions of exons, </w:t>
      </w:r>
      <w:r w:rsidR="000F02DD">
        <w:rPr>
          <w:rFonts w:cs="Times New Roman"/>
        </w:rPr>
        <w:t>the AD samples show a</w:t>
      </w:r>
      <w:r w:rsidRPr="002C2F74">
        <w:rPr>
          <w:rFonts w:cs="Times New Roman"/>
        </w:rPr>
        <w:t xml:space="preserve"> significant </w:t>
      </w:r>
      <w:r w:rsidR="000F02DD">
        <w:rPr>
          <w:rFonts w:cs="Times New Roman"/>
        </w:rPr>
        <w:t>decrease</w:t>
      </w:r>
      <w:r w:rsidR="000F02DD" w:rsidRPr="002C2F74">
        <w:rPr>
          <w:rFonts w:cs="Times New Roman"/>
        </w:rPr>
        <w:t xml:space="preserve"> </w:t>
      </w:r>
      <w:r w:rsidRPr="002C2F74">
        <w:rPr>
          <w:rFonts w:cs="Times New Roman"/>
        </w:rPr>
        <w:t xml:space="preserve">compared to normal samples (p-value = 0.01), whereas the MCI </w:t>
      </w:r>
      <w:r w:rsidR="00883702">
        <w:rPr>
          <w:rFonts w:cs="Times New Roman"/>
        </w:rPr>
        <w:t>samples</w:t>
      </w:r>
      <w:r w:rsidR="00883702" w:rsidRPr="002C2F74">
        <w:rPr>
          <w:rFonts w:cs="Times New Roman"/>
        </w:rPr>
        <w:t xml:space="preserve"> </w:t>
      </w:r>
      <w:r w:rsidR="00883702">
        <w:rPr>
          <w:rFonts w:cs="Times New Roman"/>
        </w:rPr>
        <w:t>exhibit</w:t>
      </w:r>
      <w:r w:rsidR="00883702" w:rsidRPr="002C2F74">
        <w:rPr>
          <w:rFonts w:cs="Times New Roman"/>
        </w:rPr>
        <w:t xml:space="preserve"> </w:t>
      </w:r>
      <w:r w:rsidRPr="002C2F74">
        <w:rPr>
          <w:rFonts w:cs="Times New Roman"/>
        </w:rPr>
        <w:t>no significant change (p-value = 0.55) (Figure S1).</w:t>
      </w:r>
    </w:p>
    <w:p w14:paraId="2D87D9D7" w14:textId="5B168E43" w:rsidR="000937C0" w:rsidRPr="002C2F74" w:rsidRDefault="00886BD9" w:rsidP="00886BD9">
      <w:pPr>
        <w:snapToGrid w:val="0"/>
        <w:spacing w:line="276" w:lineRule="auto"/>
        <w:ind w:firstLine="420"/>
        <w:rPr>
          <w:rFonts w:cs="Times New Roman"/>
        </w:rPr>
      </w:pPr>
      <w:r w:rsidRPr="002C2F74">
        <w:rPr>
          <w:rFonts w:cs="Times New Roman"/>
          <w:b/>
          <w:bCs/>
        </w:rPr>
        <w:t xml:space="preserve">Splicing events and </w:t>
      </w:r>
      <w:proofErr w:type="gramStart"/>
      <w:r w:rsidRPr="002C2F74">
        <w:rPr>
          <w:rFonts w:cs="Times New Roman"/>
          <w:b/>
          <w:bCs/>
        </w:rPr>
        <w:t>isoforms</w:t>
      </w:r>
      <w:proofErr w:type="gramEnd"/>
      <w:r w:rsidRPr="002C2F74">
        <w:rPr>
          <w:rFonts w:cs="Times New Roman"/>
        </w:rPr>
        <w:t xml:space="preserve">: </w:t>
      </w:r>
      <w:r w:rsidR="009E5412" w:rsidRPr="002C2F74">
        <w:rPr>
          <w:rFonts w:cs="Times New Roman"/>
        </w:rPr>
        <w:t xml:space="preserve">We identified </w:t>
      </w:r>
      <w:proofErr w:type="gramStart"/>
      <w:r w:rsidR="00921BEB" w:rsidRPr="002C2F74">
        <w:rPr>
          <w:rFonts w:cs="Times New Roman"/>
        </w:rPr>
        <w:t>a large number of</w:t>
      </w:r>
      <w:proofErr w:type="gramEnd"/>
      <w:r w:rsidR="00921BEB" w:rsidRPr="002C2F74">
        <w:rPr>
          <w:rFonts w:cs="Times New Roman"/>
        </w:rPr>
        <w:t xml:space="preserve"> </w:t>
      </w:r>
      <w:r w:rsidR="009E5412" w:rsidRPr="002C2F74">
        <w:rPr>
          <w:rFonts w:cs="Times New Roman"/>
        </w:rPr>
        <w:t xml:space="preserve">alternative splicing events, with mutually exclusive exons, skipped exons, and retained introns being predominant in both </w:t>
      </w:r>
      <w:r w:rsidR="00DF18E9">
        <w:rPr>
          <w:rFonts w:cs="Times New Roman"/>
        </w:rPr>
        <w:t xml:space="preserve">the </w:t>
      </w:r>
      <w:r w:rsidR="009E5412" w:rsidRPr="002C2F74">
        <w:rPr>
          <w:rFonts w:cs="Times New Roman"/>
        </w:rPr>
        <w:t xml:space="preserve">MCI and AD samples compared to </w:t>
      </w:r>
      <w:r w:rsidR="00DF18E9">
        <w:rPr>
          <w:rFonts w:cs="Times New Roman"/>
        </w:rPr>
        <w:t xml:space="preserve">the </w:t>
      </w:r>
      <w:r w:rsidR="009E5412" w:rsidRPr="002C2F74">
        <w:rPr>
          <w:rFonts w:cs="Times New Roman"/>
        </w:rPr>
        <w:t>normal</w:t>
      </w:r>
      <w:r w:rsidR="00DF18E9">
        <w:rPr>
          <w:rFonts w:cs="Times New Roman"/>
        </w:rPr>
        <w:t xml:space="preserve"> control</w:t>
      </w:r>
      <w:r w:rsidR="009E5412" w:rsidRPr="002C2F74">
        <w:rPr>
          <w:rFonts w:cs="Times New Roman"/>
        </w:rPr>
        <w:t>s (Figure</w:t>
      </w:r>
      <w:r w:rsidR="00921BEB" w:rsidRPr="002C2F74">
        <w:rPr>
          <w:rFonts w:cs="Times New Roman"/>
        </w:rPr>
        <w:t>s</w:t>
      </w:r>
      <w:r w:rsidR="009E5412" w:rsidRPr="002C2F74">
        <w:rPr>
          <w:rFonts w:cs="Times New Roman"/>
        </w:rPr>
        <w:t xml:space="preserve"> 2C).</w:t>
      </w:r>
      <w:r w:rsidR="0086345E" w:rsidRPr="002C2F74">
        <w:t xml:space="preserve"> </w:t>
      </w:r>
      <w:r w:rsidR="0086345E" w:rsidRPr="002C2F74">
        <w:rPr>
          <w:rFonts w:cs="Times New Roman"/>
        </w:rPr>
        <w:t xml:space="preserve">Among these splicing events, 3,946 were observed in </w:t>
      </w:r>
      <w:r w:rsidR="00DF18E9">
        <w:rPr>
          <w:rFonts w:cs="Times New Roman"/>
        </w:rPr>
        <w:t xml:space="preserve">the </w:t>
      </w:r>
      <w:r w:rsidR="0086345E" w:rsidRPr="002C2F74">
        <w:rPr>
          <w:rFonts w:cs="Times New Roman"/>
        </w:rPr>
        <w:t xml:space="preserve">MCI samples, </w:t>
      </w:r>
      <w:r w:rsidR="00921BEB" w:rsidRPr="002C2F74">
        <w:rPr>
          <w:rFonts w:cs="Times New Roman"/>
        </w:rPr>
        <w:t xml:space="preserve">and </w:t>
      </w:r>
      <w:r w:rsidR="0086345E" w:rsidRPr="002C2F74">
        <w:rPr>
          <w:rFonts w:cs="Times New Roman"/>
        </w:rPr>
        <w:t xml:space="preserve">6,929 in </w:t>
      </w:r>
      <w:r w:rsidR="00DF18E9">
        <w:rPr>
          <w:rFonts w:cs="Times New Roman"/>
        </w:rPr>
        <w:t xml:space="preserve">the </w:t>
      </w:r>
      <w:r w:rsidR="0086345E" w:rsidRPr="002C2F74">
        <w:rPr>
          <w:rFonts w:cs="Times New Roman"/>
        </w:rPr>
        <w:t xml:space="preserve">AD samples. </w:t>
      </w:r>
      <w:r w:rsidR="004E6514" w:rsidRPr="002C2F74">
        <w:rPr>
          <w:rFonts w:cs="Times New Roman"/>
        </w:rPr>
        <w:t xml:space="preserve">And </w:t>
      </w:r>
      <w:r w:rsidR="0086345E" w:rsidRPr="002C2F74">
        <w:rPr>
          <w:rFonts w:cs="Times New Roman"/>
        </w:rPr>
        <w:t xml:space="preserve">2,171 genes </w:t>
      </w:r>
      <w:r w:rsidR="004E6514" w:rsidRPr="002C2F74">
        <w:rPr>
          <w:rFonts w:cs="Times New Roman"/>
        </w:rPr>
        <w:t xml:space="preserve">harboring alternative splicing events </w:t>
      </w:r>
      <w:r w:rsidR="0086345E" w:rsidRPr="002C2F74">
        <w:rPr>
          <w:rFonts w:cs="Times New Roman"/>
        </w:rPr>
        <w:t xml:space="preserve">were identified in </w:t>
      </w:r>
      <w:r w:rsidR="00DF18E9">
        <w:rPr>
          <w:rFonts w:cs="Times New Roman"/>
        </w:rPr>
        <w:t xml:space="preserve">the </w:t>
      </w:r>
      <w:r w:rsidR="0086345E" w:rsidRPr="002C2F74">
        <w:rPr>
          <w:rFonts w:cs="Times New Roman"/>
        </w:rPr>
        <w:t xml:space="preserve">MCI </w:t>
      </w:r>
      <w:r w:rsidR="004E6514" w:rsidRPr="002C2F74">
        <w:rPr>
          <w:rFonts w:cs="Times New Roman"/>
        </w:rPr>
        <w:t>samples</w:t>
      </w:r>
      <w:r w:rsidR="0086345E" w:rsidRPr="002C2F74">
        <w:rPr>
          <w:rFonts w:cs="Times New Roman"/>
        </w:rPr>
        <w:t xml:space="preserve">, </w:t>
      </w:r>
      <w:r w:rsidR="004E6514" w:rsidRPr="002C2F74">
        <w:rPr>
          <w:rFonts w:cs="Times New Roman"/>
        </w:rPr>
        <w:t>and</w:t>
      </w:r>
      <w:r w:rsidR="0086345E" w:rsidRPr="002C2F74">
        <w:rPr>
          <w:rFonts w:cs="Times New Roman"/>
        </w:rPr>
        <w:t xml:space="preserve"> 2,815 </w:t>
      </w:r>
      <w:r w:rsidR="004E6514" w:rsidRPr="002C2F74">
        <w:rPr>
          <w:rFonts w:cs="Times New Roman"/>
        </w:rPr>
        <w:t xml:space="preserve">such </w:t>
      </w:r>
      <w:r w:rsidR="0086345E" w:rsidRPr="002C2F74">
        <w:rPr>
          <w:rFonts w:cs="Times New Roman"/>
        </w:rPr>
        <w:t xml:space="preserve">genes were </w:t>
      </w:r>
      <w:r w:rsidR="004E6514" w:rsidRPr="002C2F74">
        <w:rPr>
          <w:rFonts w:cs="Times New Roman"/>
        </w:rPr>
        <w:t xml:space="preserve">detected </w:t>
      </w:r>
      <w:r w:rsidR="0086345E" w:rsidRPr="002C2F74">
        <w:rPr>
          <w:rFonts w:cs="Times New Roman"/>
        </w:rPr>
        <w:t>in AD</w:t>
      </w:r>
      <w:r w:rsidR="004E6514" w:rsidRPr="002C2F74">
        <w:rPr>
          <w:rFonts w:cs="Times New Roman"/>
        </w:rPr>
        <w:t xml:space="preserve"> samples</w:t>
      </w:r>
      <w:r w:rsidR="008D2AB7" w:rsidRPr="002C2F74">
        <w:rPr>
          <w:rFonts w:cs="Times New Roman" w:hint="eastAsia"/>
        </w:rPr>
        <w:t xml:space="preserve"> (Table S1)</w:t>
      </w:r>
      <w:r w:rsidR="0086345E" w:rsidRPr="002C2F74">
        <w:rPr>
          <w:rFonts w:cs="Times New Roman"/>
        </w:rPr>
        <w:t>.</w:t>
      </w:r>
    </w:p>
    <w:p w14:paraId="0A7F7187" w14:textId="2A2E55E9" w:rsidR="00DC3980" w:rsidRPr="002C2F74" w:rsidRDefault="00886BD9" w:rsidP="00DC3980">
      <w:pPr>
        <w:snapToGrid w:val="0"/>
        <w:spacing w:line="276" w:lineRule="auto"/>
        <w:ind w:firstLine="420"/>
        <w:rPr>
          <w:rFonts w:cs="Times New Roman"/>
        </w:rPr>
      </w:pPr>
      <w:r w:rsidRPr="002C2F74">
        <w:rPr>
          <w:rFonts w:cs="Times New Roman"/>
          <w:b/>
          <w:bCs/>
        </w:rPr>
        <w:t>Differential expression analyses</w:t>
      </w:r>
      <w:r w:rsidRPr="002C2F74">
        <w:rPr>
          <w:rFonts w:cs="Times New Roman"/>
        </w:rPr>
        <w:t>: W</w:t>
      </w:r>
      <w:r w:rsidR="009E5412" w:rsidRPr="002C2F74">
        <w:rPr>
          <w:rFonts w:cs="Times New Roman"/>
        </w:rPr>
        <w:t>e performed differential expression analys</w:t>
      </w:r>
      <w:r w:rsidR="00DC79CF">
        <w:rPr>
          <w:rFonts w:cs="Times New Roman"/>
        </w:rPr>
        <w:t>e</w:t>
      </w:r>
      <w:r w:rsidR="009E5412" w:rsidRPr="002C2F74">
        <w:rPr>
          <w:rFonts w:cs="Times New Roman"/>
        </w:rPr>
        <w:t xml:space="preserve">s using the STAR pipeline, </w:t>
      </w:r>
      <w:r w:rsidR="00527881" w:rsidRPr="002C2F74">
        <w:rPr>
          <w:rFonts w:cs="Times New Roman"/>
        </w:rPr>
        <w:t>not distinguishing among different splicing isoforms for each gene</w:t>
      </w:r>
      <w:r w:rsidR="009E5412" w:rsidRPr="002C2F74">
        <w:rPr>
          <w:rFonts w:cs="Times New Roman"/>
        </w:rPr>
        <w:t xml:space="preserve">. In the ROSMAP dataset, we identified 371 </w:t>
      </w:r>
      <w:r w:rsidR="00527881" w:rsidRPr="002C2F74">
        <w:rPr>
          <w:rFonts w:cs="Times New Roman" w:hint="eastAsia"/>
        </w:rPr>
        <w:t>differentially expressed genes</w:t>
      </w:r>
      <w:r w:rsidR="00527881" w:rsidRPr="002C2F74">
        <w:rPr>
          <w:rFonts w:cs="Times New Roman"/>
        </w:rPr>
        <w:t xml:space="preserve"> (</w:t>
      </w:r>
      <w:r w:rsidR="009E5412" w:rsidRPr="002C2F74">
        <w:rPr>
          <w:rFonts w:cs="Times New Roman"/>
        </w:rPr>
        <w:t>DEGs</w:t>
      </w:r>
      <w:r w:rsidR="00527881" w:rsidRPr="002C2F74">
        <w:rPr>
          <w:rFonts w:cs="Times New Roman"/>
        </w:rPr>
        <w:t>)</w:t>
      </w:r>
      <w:r w:rsidR="009E5412" w:rsidRPr="002C2F74">
        <w:rPr>
          <w:rFonts w:cs="Times New Roman"/>
        </w:rPr>
        <w:t xml:space="preserve"> in </w:t>
      </w:r>
      <w:r w:rsidR="00DC79CF">
        <w:rPr>
          <w:rFonts w:cs="Times New Roman"/>
        </w:rPr>
        <w:t xml:space="preserve">the </w:t>
      </w:r>
      <w:r w:rsidR="009E5412" w:rsidRPr="002C2F74">
        <w:rPr>
          <w:rFonts w:cs="Times New Roman"/>
        </w:rPr>
        <w:t xml:space="preserve">MCI </w:t>
      </w:r>
      <w:r w:rsidR="00527881" w:rsidRPr="002C2F74">
        <w:rPr>
          <w:rFonts w:cs="Times New Roman"/>
        </w:rPr>
        <w:t xml:space="preserve">samples </w:t>
      </w:r>
      <w:r w:rsidR="009E5412" w:rsidRPr="002C2F74">
        <w:rPr>
          <w:rFonts w:cs="Times New Roman"/>
        </w:rPr>
        <w:t xml:space="preserve">and 1,195 DEGs in the AD group (Figures 2D). </w:t>
      </w:r>
      <w:r w:rsidR="00527881" w:rsidRPr="002C2F74">
        <w:rPr>
          <w:rFonts w:cs="Times New Roman"/>
        </w:rPr>
        <w:t xml:space="preserve">We note that </w:t>
      </w:r>
      <w:r w:rsidR="009E5412" w:rsidRPr="002C2F74">
        <w:rPr>
          <w:rFonts w:cs="Times New Roman"/>
        </w:rPr>
        <w:t xml:space="preserve">35.04% of the DEGs </w:t>
      </w:r>
      <w:r w:rsidR="00527881" w:rsidRPr="002C2F74">
        <w:rPr>
          <w:rFonts w:cs="Times New Roman"/>
        </w:rPr>
        <w:t xml:space="preserve">are protein-coding genes </w:t>
      </w:r>
      <w:r w:rsidR="009E5412" w:rsidRPr="002C2F74">
        <w:rPr>
          <w:rFonts w:cs="Times New Roman"/>
        </w:rPr>
        <w:t xml:space="preserve">in the MCI group and 45.27% in the AD group, </w:t>
      </w:r>
      <w:r w:rsidR="00DC79CF">
        <w:rPr>
          <w:rFonts w:cs="Times New Roman"/>
        </w:rPr>
        <w:t>while</w:t>
      </w:r>
      <w:r w:rsidR="00DC79CF" w:rsidRPr="002C2F74">
        <w:rPr>
          <w:rFonts w:cs="Times New Roman"/>
        </w:rPr>
        <w:t xml:space="preserve"> </w:t>
      </w:r>
      <w:r w:rsidR="00CE7044" w:rsidRPr="002C2F74">
        <w:rPr>
          <w:rFonts w:cs="Times New Roman" w:hint="eastAsia"/>
        </w:rPr>
        <w:t>64.96</w:t>
      </w:r>
      <w:r w:rsidR="00375C9E" w:rsidRPr="002C2F74">
        <w:rPr>
          <w:rFonts w:cs="Times New Roman"/>
        </w:rPr>
        <w:t xml:space="preserve">% and </w:t>
      </w:r>
      <w:r w:rsidR="00CE7044" w:rsidRPr="002C2F74">
        <w:rPr>
          <w:rFonts w:cs="Times New Roman" w:hint="eastAsia"/>
        </w:rPr>
        <w:t>54.73</w:t>
      </w:r>
      <w:r w:rsidR="00375C9E" w:rsidRPr="002C2F74">
        <w:rPr>
          <w:rFonts w:cs="Times New Roman"/>
        </w:rPr>
        <w:t xml:space="preserve">% of the DEGs are </w:t>
      </w:r>
      <w:proofErr w:type="spellStart"/>
      <w:r w:rsidR="00DC79CF">
        <w:rPr>
          <w:rFonts w:cs="Times New Roman"/>
        </w:rPr>
        <w:t>lncRNA</w:t>
      </w:r>
      <w:r w:rsidR="009E5412" w:rsidRPr="002C2F74">
        <w:rPr>
          <w:rFonts w:cs="Times New Roman"/>
        </w:rPr>
        <w:t>s</w:t>
      </w:r>
      <w:proofErr w:type="spellEnd"/>
      <w:r w:rsidR="009E5412" w:rsidRPr="002C2F74">
        <w:rPr>
          <w:rFonts w:cs="Times New Roman"/>
        </w:rPr>
        <w:t xml:space="preserve"> </w:t>
      </w:r>
      <w:r w:rsidR="00375C9E" w:rsidRPr="002C2F74">
        <w:rPr>
          <w:rFonts w:cs="Times New Roman"/>
        </w:rPr>
        <w:t xml:space="preserve">in </w:t>
      </w:r>
      <w:r w:rsidR="00DC79CF">
        <w:rPr>
          <w:rFonts w:cs="Times New Roman"/>
        </w:rPr>
        <w:t xml:space="preserve">the </w:t>
      </w:r>
      <w:r w:rsidR="00375C9E" w:rsidRPr="002C2F74">
        <w:rPr>
          <w:rFonts w:cs="Times New Roman"/>
        </w:rPr>
        <w:t xml:space="preserve">MCI and AD group, respectively </w:t>
      </w:r>
      <w:r w:rsidR="00DC79CF">
        <w:rPr>
          <w:rFonts w:cs="Times New Roman"/>
        </w:rPr>
        <w:t>and</w:t>
      </w:r>
      <w:r w:rsidR="00DC79CF" w:rsidRPr="002C2F74">
        <w:rPr>
          <w:rFonts w:cs="Times New Roman"/>
        </w:rPr>
        <w:t xml:space="preserve"> </w:t>
      </w:r>
      <w:r w:rsidR="00375C9E" w:rsidRPr="002C2F74">
        <w:rPr>
          <w:rFonts w:cs="Times New Roman"/>
        </w:rPr>
        <w:t xml:space="preserve">the rest are </w:t>
      </w:r>
      <w:r w:rsidR="009E5412" w:rsidRPr="002C2F74">
        <w:rPr>
          <w:rFonts w:cs="Times New Roman"/>
        </w:rPr>
        <w:t xml:space="preserve">pseudogenes (Table </w:t>
      </w:r>
      <w:r w:rsidR="003E7C7C" w:rsidRPr="002C2F74">
        <w:rPr>
          <w:rFonts w:cs="Times New Roman" w:hint="eastAsia"/>
        </w:rPr>
        <w:t>2</w:t>
      </w:r>
      <w:r w:rsidR="009E5412" w:rsidRPr="002C2F74">
        <w:rPr>
          <w:rFonts w:cs="Times New Roman"/>
        </w:rPr>
        <w:t>).</w:t>
      </w:r>
    </w:p>
    <w:p w14:paraId="6752DCD1" w14:textId="2D1C605A" w:rsidR="0064047B" w:rsidRDefault="009E5412" w:rsidP="00886AF0">
      <w:pPr>
        <w:snapToGrid w:val="0"/>
        <w:spacing w:line="276" w:lineRule="auto"/>
        <w:ind w:firstLine="420"/>
        <w:rPr>
          <w:rFonts w:cs="Times New Roman"/>
        </w:rPr>
      </w:pPr>
      <w:r w:rsidRPr="002C2F74">
        <w:rPr>
          <w:rFonts w:cs="Times New Roman"/>
        </w:rPr>
        <w:t xml:space="preserve">To </w:t>
      </w:r>
      <w:r w:rsidR="009D527D" w:rsidRPr="002C2F74">
        <w:rPr>
          <w:rFonts w:cs="Times New Roman"/>
        </w:rPr>
        <w:t xml:space="preserve">ensure </w:t>
      </w:r>
      <w:r w:rsidRPr="002C2F74">
        <w:rPr>
          <w:rFonts w:cs="Times New Roman"/>
        </w:rPr>
        <w:t xml:space="preserve">the generalizability of these findings, we </w:t>
      </w:r>
      <w:r w:rsidR="00254970" w:rsidRPr="002C2F74">
        <w:rPr>
          <w:rFonts w:cs="Times New Roman"/>
        </w:rPr>
        <w:t xml:space="preserve">have </w:t>
      </w:r>
      <w:r w:rsidR="009D527D" w:rsidRPr="002C2F74">
        <w:rPr>
          <w:rFonts w:cs="Times New Roman"/>
        </w:rPr>
        <w:t xml:space="preserve">conducted similar analyses on </w:t>
      </w:r>
      <w:r w:rsidRPr="002C2F74">
        <w:rPr>
          <w:rFonts w:cs="Times New Roman"/>
        </w:rPr>
        <w:t>other AD datasets. The MSBB dataset exhibited a similar pattern</w:t>
      </w:r>
      <w:r w:rsidR="00254970" w:rsidRPr="002C2F74">
        <w:rPr>
          <w:rFonts w:cs="Times New Roman"/>
        </w:rPr>
        <w:t xml:space="preserve"> to the above</w:t>
      </w:r>
      <w:r w:rsidRPr="002C2F74">
        <w:rPr>
          <w:rFonts w:cs="Times New Roman"/>
        </w:rPr>
        <w:t>, with 38.89%</w:t>
      </w:r>
      <w:r w:rsidR="00254970" w:rsidRPr="002C2F74">
        <w:rPr>
          <w:rFonts w:cs="Times New Roman"/>
        </w:rPr>
        <w:t xml:space="preserve"> and 37.84% </w:t>
      </w:r>
      <w:r w:rsidR="00302EB9" w:rsidRPr="002C2F74">
        <w:rPr>
          <w:rFonts w:cs="Times New Roman"/>
        </w:rPr>
        <w:t>of DEGs</w:t>
      </w:r>
      <w:r w:rsidRPr="002C2F74">
        <w:rPr>
          <w:rFonts w:cs="Times New Roman"/>
        </w:rPr>
        <w:t xml:space="preserve"> </w:t>
      </w:r>
      <w:r w:rsidR="00302EB9" w:rsidRPr="002C2F74">
        <w:rPr>
          <w:rFonts w:cs="Times New Roman"/>
        </w:rPr>
        <w:t xml:space="preserve">are </w:t>
      </w:r>
      <w:r w:rsidR="00886AF0" w:rsidRPr="002C2F74">
        <w:rPr>
          <w:rFonts w:cs="Times New Roman" w:hint="eastAsia"/>
        </w:rPr>
        <w:t>protein-encoding genes</w:t>
      </w:r>
      <w:r w:rsidR="00886AF0" w:rsidRPr="002C2F74">
        <w:rPr>
          <w:rFonts w:cs="Times New Roman"/>
        </w:rPr>
        <w:t xml:space="preserve"> </w:t>
      </w:r>
      <w:r w:rsidRPr="002C2F74">
        <w:rPr>
          <w:rFonts w:cs="Times New Roman"/>
        </w:rPr>
        <w:t xml:space="preserve">in early-stage and late-stage </w:t>
      </w:r>
      <w:r w:rsidR="00886AF0" w:rsidRPr="002C2F74">
        <w:rPr>
          <w:rFonts w:cs="Times New Roman"/>
        </w:rPr>
        <w:t xml:space="preserve">AD </w:t>
      </w:r>
      <w:r w:rsidRPr="002C2F74">
        <w:rPr>
          <w:rFonts w:cs="Times New Roman"/>
        </w:rPr>
        <w:t>samples (Figure 2</w:t>
      </w:r>
      <w:r w:rsidR="00BE1C8B" w:rsidRPr="002C2F74">
        <w:rPr>
          <w:rFonts w:cs="Times New Roman" w:hint="eastAsia"/>
        </w:rPr>
        <w:t>E</w:t>
      </w:r>
      <w:r w:rsidRPr="002C2F74">
        <w:rPr>
          <w:rFonts w:cs="Times New Roman"/>
        </w:rPr>
        <w:t xml:space="preserve">). </w:t>
      </w:r>
      <w:r w:rsidR="00886AF0" w:rsidRPr="002C2F74">
        <w:rPr>
          <w:rFonts w:cs="Times New Roman"/>
        </w:rPr>
        <w:t xml:space="preserve">Similar results are observed in </w:t>
      </w:r>
      <w:r w:rsidRPr="002C2F74">
        <w:rPr>
          <w:rFonts w:cs="Times New Roman"/>
        </w:rPr>
        <w:t>other brain regions within the MSBB dataset and in the GEO dataset GSE95587</w:t>
      </w:r>
      <w:r w:rsidR="00886AF0" w:rsidRPr="002C2F74">
        <w:rPr>
          <w:rFonts w:cs="Times New Roman"/>
        </w:rPr>
        <w:t>, as summarized in</w:t>
      </w:r>
      <w:r w:rsidRPr="002C2F74">
        <w:rPr>
          <w:rFonts w:cs="Times New Roman"/>
        </w:rPr>
        <w:t xml:space="preserve"> Figure S</w:t>
      </w:r>
      <w:r w:rsidR="003E7C7C" w:rsidRPr="002C2F74">
        <w:rPr>
          <w:rFonts w:cs="Times New Roman" w:hint="eastAsia"/>
        </w:rPr>
        <w:t>2</w:t>
      </w:r>
      <w:r w:rsidR="00886AF0" w:rsidRPr="002C2F74">
        <w:rPr>
          <w:rFonts w:cs="Times New Roman"/>
        </w:rPr>
        <w:t xml:space="preserve"> and detailed in</w:t>
      </w:r>
      <w:r w:rsidRPr="002C2F74">
        <w:rPr>
          <w:rFonts w:cs="Times New Roman"/>
        </w:rPr>
        <w:t xml:space="preserve"> Table </w:t>
      </w:r>
      <w:r w:rsidR="00BA60B1" w:rsidRPr="002C2F74">
        <w:rPr>
          <w:rFonts w:cs="Times New Roman" w:hint="eastAsia"/>
        </w:rPr>
        <w:t>2</w:t>
      </w:r>
      <w:r w:rsidRPr="002C2F74">
        <w:rPr>
          <w:rFonts w:cs="Times New Roman"/>
        </w:rPr>
        <w:t>.</w:t>
      </w:r>
    </w:p>
    <w:p w14:paraId="64E07FEF" w14:textId="5EBF68BE" w:rsidR="00DC3980" w:rsidRPr="00DC3980" w:rsidRDefault="00542FC6" w:rsidP="00542FC6">
      <w:pPr>
        <w:snapToGrid w:val="0"/>
        <w:spacing w:line="276" w:lineRule="auto"/>
        <w:ind w:firstLine="420"/>
        <w:rPr>
          <w:rFonts w:eastAsia="微软雅黑" w:cs="Times New Roman"/>
          <w:shd w:val="clear" w:color="auto" w:fill="FCFDFE"/>
        </w:rPr>
      </w:pPr>
      <w:r>
        <w:rPr>
          <w:rStyle w:val="src"/>
          <w:rFonts w:eastAsia="微软雅黑" w:cs="Times New Roman"/>
          <w:shd w:val="clear" w:color="auto" w:fill="FCFDFE"/>
        </w:rPr>
        <w:t>Overall, c</w:t>
      </w:r>
      <w:r w:rsidR="00DC3980" w:rsidRPr="002C2F74">
        <w:rPr>
          <w:rStyle w:val="src"/>
          <w:rFonts w:eastAsia="微软雅黑" w:cs="Times New Roman"/>
          <w:shd w:val="clear" w:color="auto" w:fill="FCFDFE"/>
        </w:rPr>
        <w:t xml:space="preserve">ompared to existing transcriptomic datasets for AD tissues, our assembly significantly expands the coverage: we identified a 4.74-fold </w:t>
      </w:r>
      <w:r w:rsidR="00CC12CC">
        <w:rPr>
          <w:rStyle w:val="src"/>
          <w:rFonts w:eastAsia="微软雅黑" w:cs="Times New Roman"/>
          <w:shd w:val="clear" w:color="auto" w:fill="FCFDFE"/>
        </w:rPr>
        <w:t>more</w:t>
      </w:r>
      <w:r w:rsidR="00CC12CC" w:rsidRPr="002C2F74">
        <w:rPr>
          <w:rStyle w:val="src"/>
          <w:rFonts w:eastAsia="微软雅黑" w:cs="Times New Roman"/>
          <w:shd w:val="clear" w:color="auto" w:fill="FCFDFE"/>
        </w:rPr>
        <w:t xml:space="preserve"> </w:t>
      </w:r>
      <w:r w:rsidR="00DC3980" w:rsidRPr="002C2F74">
        <w:rPr>
          <w:rStyle w:val="src"/>
          <w:rFonts w:eastAsia="微软雅黑" w:cs="Times New Roman"/>
          <w:shd w:val="clear" w:color="auto" w:fill="FCFDFE"/>
        </w:rPr>
        <w:t>(12,020 vs. 2,537) differentially expressed protein-coding transcripts in MCI tissues, while</w:t>
      </w:r>
      <w:r>
        <w:rPr>
          <w:rStyle w:val="src"/>
          <w:rFonts w:eastAsia="微软雅黑" w:cs="Times New Roman"/>
          <w:shd w:val="clear" w:color="auto" w:fill="FCFDFE"/>
        </w:rPr>
        <w:t xml:space="preserve"> in the AD samples,</w:t>
      </w:r>
      <w:r w:rsidR="00DC3980" w:rsidRPr="002C2F74">
        <w:rPr>
          <w:rStyle w:val="src"/>
          <w:rFonts w:eastAsia="微软雅黑" w:cs="Times New Roman"/>
          <w:shd w:val="clear" w:color="auto" w:fill="FCFDFE"/>
        </w:rPr>
        <w:t xml:space="preserve"> the coverage showed a slight decrease (5,150 vs. 7,119), representing a 0.72-fold </w:t>
      </w:r>
      <w:r>
        <w:rPr>
          <w:rStyle w:val="src"/>
          <w:rFonts w:eastAsia="微软雅黑" w:cs="Times New Roman"/>
          <w:shd w:val="clear" w:color="auto" w:fill="FCFDFE"/>
        </w:rPr>
        <w:t>decrease</w:t>
      </w:r>
      <w:r w:rsidRPr="002C2F74">
        <w:rPr>
          <w:rStyle w:val="src"/>
          <w:rFonts w:eastAsia="微软雅黑" w:cs="Times New Roman"/>
          <w:shd w:val="clear" w:color="auto" w:fill="FCFDFE"/>
        </w:rPr>
        <w:t xml:space="preserve"> </w:t>
      </w:r>
      <w:r w:rsidR="00DC3980" w:rsidRPr="002C2F74">
        <w:rPr>
          <w:rStyle w:val="src"/>
          <w:rFonts w:eastAsia="微软雅黑" w:cs="Times New Roman"/>
          <w:shd w:val="clear" w:color="auto" w:fill="FCFDFE"/>
        </w:rPr>
        <w:t xml:space="preserve">(Figure 3D). </w:t>
      </w:r>
    </w:p>
    <w:p w14:paraId="01CAFD9E" w14:textId="4FF82BB9" w:rsidR="006523CE" w:rsidRPr="002C2F74" w:rsidRDefault="00886BD9" w:rsidP="0027696C">
      <w:pPr>
        <w:snapToGrid w:val="0"/>
        <w:spacing w:line="276" w:lineRule="auto"/>
        <w:ind w:firstLine="420"/>
        <w:rPr>
          <w:rFonts w:cs="Times New Roman"/>
        </w:rPr>
      </w:pPr>
      <w:r w:rsidRPr="002C2F74">
        <w:rPr>
          <w:rFonts w:cs="Times New Roman"/>
          <w:b/>
          <w:bCs/>
        </w:rPr>
        <w:t>Pathway enrichment analyses</w:t>
      </w:r>
      <w:r w:rsidRPr="002C2F74">
        <w:rPr>
          <w:rFonts w:cs="Times New Roman"/>
        </w:rPr>
        <w:t>:</w:t>
      </w:r>
      <w:r w:rsidR="000035BE" w:rsidRPr="002C2F74">
        <w:rPr>
          <w:rFonts w:cs="Times New Roman"/>
        </w:rPr>
        <w:t xml:space="preserve"> We have then conducted</w:t>
      </w:r>
      <w:r w:rsidR="002D42CB" w:rsidRPr="002C2F74">
        <w:rPr>
          <w:rFonts w:cs="Times New Roman"/>
        </w:rPr>
        <w:t xml:space="preserve"> pathway</w:t>
      </w:r>
      <w:r w:rsidR="000035BE" w:rsidRPr="002C2F74">
        <w:rPr>
          <w:rFonts w:cs="Times New Roman"/>
        </w:rPr>
        <w:t>-</w:t>
      </w:r>
      <w:r w:rsidR="002D42CB" w:rsidRPr="002C2F74">
        <w:rPr>
          <w:rFonts w:cs="Times New Roman"/>
        </w:rPr>
        <w:t>enrichment analys</w:t>
      </w:r>
      <w:r w:rsidR="000035BE" w:rsidRPr="002C2F74">
        <w:rPr>
          <w:rFonts w:cs="Times New Roman"/>
        </w:rPr>
        <w:t>e</w:t>
      </w:r>
      <w:r w:rsidR="002D42CB" w:rsidRPr="002C2F74">
        <w:rPr>
          <w:rFonts w:cs="Times New Roman"/>
        </w:rPr>
        <w:t>s</w:t>
      </w:r>
      <w:r w:rsidR="000035BE" w:rsidRPr="002C2F74">
        <w:rPr>
          <w:rFonts w:cs="Times New Roman"/>
        </w:rPr>
        <w:t xml:space="preserve"> over the </w:t>
      </w:r>
      <w:r w:rsidR="00E86227" w:rsidRPr="002C2F74">
        <w:rPr>
          <w:rFonts w:cs="Times New Roman"/>
        </w:rPr>
        <w:t>DEG</w:t>
      </w:r>
      <w:r w:rsidR="000035BE" w:rsidRPr="002C2F74">
        <w:rPr>
          <w:rFonts w:cs="Times New Roman"/>
        </w:rPr>
        <w:t>s,</w:t>
      </w:r>
      <w:r w:rsidR="002D42CB" w:rsidRPr="002C2F74">
        <w:rPr>
          <w:rFonts w:cs="Times New Roman"/>
        </w:rPr>
        <w:t xml:space="preserve"> </w:t>
      </w:r>
      <w:r w:rsidR="00E86227" w:rsidRPr="002C2F74">
        <w:rPr>
          <w:rFonts w:cs="Times New Roman"/>
        </w:rPr>
        <w:t>and found</w:t>
      </w:r>
      <w:r w:rsidR="002D42CB" w:rsidRPr="002C2F74">
        <w:rPr>
          <w:rFonts w:cs="Times New Roman"/>
        </w:rPr>
        <w:t xml:space="preserve"> </w:t>
      </w:r>
      <w:r w:rsidR="00F955BC" w:rsidRPr="002C2F74">
        <w:rPr>
          <w:rFonts w:cs="Times New Roman"/>
        </w:rPr>
        <w:t>that</w:t>
      </w:r>
      <w:r w:rsidR="00E86227" w:rsidRPr="002C2F74">
        <w:rPr>
          <w:rFonts w:cs="Times New Roman"/>
        </w:rPr>
        <w:t xml:space="preserve"> the following are enriched: (1) </w:t>
      </w:r>
      <w:r w:rsidR="002D42CB" w:rsidRPr="002C2F74">
        <w:rPr>
          <w:rFonts w:cs="Times New Roman"/>
        </w:rPr>
        <w:t>amyloid production</w:t>
      </w:r>
      <w:r w:rsidR="00E86227" w:rsidRPr="002C2F74">
        <w:rPr>
          <w:rFonts w:cs="Times New Roman"/>
        </w:rPr>
        <w:t xml:space="preserve">; (2) </w:t>
      </w:r>
      <w:r w:rsidR="002D42CB" w:rsidRPr="002C2F74">
        <w:rPr>
          <w:rFonts w:cs="Times New Roman"/>
        </w:rPr>
        <w:t>microtubule transport</w:t>
      </w:r>
      <w:r w:rsidR="003A19FE">
        <w:rPr>
          <w:rFonts w:cs="Times New Roman"/>
        </w:rPr>
        <w:t xml:space="preserve">; </w:t>
      </w:r>
      <w:r w:rsidR="002D42CB" w:rsidRPr="002C2F74">
        <w:rPr>
          <w:rFonts w:cs="Times New Roman"/>
        </w:rPr>
        <w:t xml:space="preserve"> </w:t>
      </w:r>
      <w:r w:rsidR="003A19FE">
        <w:rPr>
          <w:rFonts w:cs="Times New Roman"/>
        </w:rPr>
        <w:t xml:space="preserve">(3) </w:t>
      </w:r>
      <w:r w:rsidR="002D42CB" w:rsidRPr="002C2F74">
        <w:rPr>
          <w:rFonts w:cs="Times New Roman"/>
        </w:rPr>
        <w:t>lipid oxidation</w:t>
      </w:r>
      <w:r w:rsidR="003A19FE">
        <w:rPr>
          <w:rFonts w:cs="Times New Roman"/>
        </w:rPr>
        <w:t>;</w:t>
      </w:r>
      <w:r w:rsidR="002D42CB" w:rsidRPr="002C2F74">
        <w:rPr>
          <w:rFonts w:cs="Times New Roman"/>
        </w:rPr>
        <w:t xml:space="preserve"> </w:t>
      </w:r>
      <w:r w:rsidR="003A19FE">
        <w:rPr>
          <w:rFonts w:cs="Times New Roman"/>
        </w:rPr>
        <w:t xml:space="preserve">(4) </w:t>
      </w:r>
      <w:r w:rsidR="002D42CB" w:rsidRPr="002C2F74">
        <w:rPr>
          <w:rFonts w:cs="Times New Roman"/>
        </w:rPr>
        <w:t>proteasomal degradation of misfolded proteins (Table S2)</w:t>
      </w:r>
      <w:r w:rsidR="008E37FC" w:rsidRPr="002C2F74">
        <w:rPr>
          <w:rFonts w:cs="Times New Roman"/>
        </w:rPr>
        <w:t>; (</w:t>
      </w:r>
      <w:r w:rsidR="003A19FE">
        <w:rPr>
          <w:rFonts w:cs="Times New Roman"/>
        </w:rPr>
        <w:t>5</w:t>
      </w:r>
      <w:r w:rsidR="008E37FC" w:rsidRPr="002C2F74">
        <w:rPr>
          <w:rFonts w:cs="Times New Roman"/>
        </w:rPr>
        <w:t>)</w:t>
      </w:r>
      <w:r w:rsidR="00F44BC5" w:rsidRPr="002C2F74">
        <w:rPr>
          <w:rFonts w:cs="Times New Roman"/>
        </w:rPr>
        <w:t xml:space="preserve"> immune cell infiltration, including B cells and T cells,</w:t>
      </w:r>
      <w:r w:rsidR="00F44BC5" w:rsidRPr="002C2F74">
        <w:rPr>
          <w:rFonts w:cs="Times New Roman" w:hint="eastAsia"/>
        </w:rPr>
        <w:t xml:space="preserve"> in the e</w:t>
      </w:r>
      <w:r w:rsidR="009E5412" w:rsidRPr="002C2F74">
        <w:rPr>
          <w:rFonts w:cs="Times New Roman"/>
        </w:rPr>
        <w:t xml:space="preserve">arly-stage </w:t>
      </w:r>
      <w:r w:rsidR="00F44BC5" w:rsidRPr="002C2F74">
        <w:rPr>
          <w:rFonts w:cs="Times New Roman" w:hint="eastAsia"/>
        </w:rPr>
        <w:t>AD</w:t>
      </w:r>
      <w:r w:rsidR="009E5412" w:rsidRPr="002C2F74">
        <w:rPr>
          <w:rFonts w:cs="Times New Roman"/>
        </w:rPr>
        <w:t xml:space="preserve"> patients, which are typically absent in the brain (Table S</w:t>
      </w:r>
      <w:r w:rsidR="00441516" w:rsidRPr="002C2F74">
        <w:rPr>
          <w:rFonts w:cs="Times New Roman" w:hint="eastAsia"/>
        </w:rPr>
        <w:t>2</w:t>
      </w:r>
      <w:r w:rsidR="009E5412" w:rsidRPr="002C2F74">
        <w:rPr>
          <w:rFonts w:cs="Times New Roman"/>
        </w:rPr>
        <w:t>)</w:t>
      </w:r>
      <w:r w:rsidR="00F44BC5" w:rsidRPr="002C2F74">
        <w:rPr>
          <w:rFonts w:cs="Times New Roman" w:hint="eastAsia"/>
        </w:rPr>
        <w:t>；</w:t>
      </w:r>
      <w:r w:rsidR="00411F1C" w:rsidRPr="002C2F74">
        <w:rPr>
          <w:rFonts w:cs="Times New Roman"/>
        </w:rPr>
        <w:t>and (</w:t>
      </w:r>
      <w:r w:rsidR="003A19FE">
        <w:rPr>
          <w:rFonts w:cs="Times New Roman"/>
        </w:rPr>
        <w:t>6</w:t>
      </w:r>
      <w:r w:rsidR="00411F1C" w:rsidRPr="002C2F74">
        <w:rPr>
          <w:rFonts w:cs="Times New Roman"/>
        </w:rPr>
        <w:t xml:space="preserve">) </w:t>
      </w:r>
      <w:r w:rsidR="00BE73F8" w:rsidRPr="002C2F74">
        <w:rPr>
          <w:rFonts w:cs="Times New Roman"/>
        </w:rPr>
        <w:t xml:space="preserve">surprisingly, </w:t>
      </w:r>
      <w:r w:rsidR="00411F1C" w:rsidRPr="002C2F74">
        <w:rPr>
          <w:rFonts w:cs="Times New Roman"/>
        </w:rPr>
        <w:t xml:space="preserve">no </w:t>
      </w:r>
      <w:r w:rsidR="009E5412" w:rsidRPr="002C2F74">
        <w:rPr>
          <w:rFonts w:cs="Times New Roman"/>
        </w:rPr>
        <w:t>amyloid formation, a hallmark of early AD pathology</w:t>
      </w:r>
      <w:r w:rsidR="00BE73F8" w:rsidRPr="002C2F74">
        <w:rPr>
          <w:rFonts w:cs="Times New Roman"/>
        </w:rPr>
        <w:t xml:space="preserve">, </w:t>
      </w:r>
      <w:r w:rsidR="00411F1C" w:rsidRPr="002C2F74">
        <w:rPr>
          <w:rFonts w:cs="Times New Roman"/>
        </w:rPr>
        <w:t>being</w:t>
      </w:r>
      <w:r w:rsidR="00BE73F8" w:rsidRPr="002C2F74">
        <w:rPr>
          <w:rFonts w:cs="Times New Roman"/>
        </w:rPr>
        <w:t xml:space="preserve"> detected in the enrichment result</w:t>
      </w:r>
      <w:r w:rsidR="009E5412" w:rsidRPr="002C2F74">
        <w:rPr>
          <w:rFonts w:cs="Times New Roman"/>
        </w:rPr>
        <w:t>. This absence was consistently observed across multiple datasets (Table S</w:t>
      </w:r>
      <w:r w:rsidR="00441516" w:rsidRPr="002C2F74">
        <w:rPr>
          <w:rFonts w:cs="Times New Roman" w:hint="eastAsia"/>
        </w:rPr>
        <w:t>2</w:t>
      </w:r>
      <w:r w:rsidR="009E5412" w:rsidRPr="002C2F74">
        <w:rPr>
          <w:rFonts w:cs="Times New Roman"/>
        </w:rPr>
        <w:t xml:space="preserve">), suggesting that amyloid formation may not be as prominent at the transcriptomic </w:t>
      </w:r>
      <w:r w:rsidR="00E32ED0" w:rsidRPr="002C2F74">
        <w:rPr>
          <w:rFonts w:cs="Times New Roman" w:hint="eastAsia"/>
        </w:rPr>
        <w:t xml:space="preserve">gene </w:t>
      </w:r>
      <w:r w:rsidR="009E5412" w:rsidRPr="002C2F74">
        <w:rPr>
          <w:rFonts w:cs="Times New Roman"/>
        </w:rPr>
        <w:t xml:space="preserve">level as previously assumed, or that the changes are </w:t>
      </w:r>
      <w:r w:rsidR="003A19FE">
        <w:rPr>
          <w:rFonts w:cs="Times New Roman"/>
        </w:rPr>
        <w:t xml:space="preserve">very </w:t>
      </w:r>
      <w:r w:rsidR="009E5412" w:rsidRPr="002C2F74">
        <w:rPr>
          <w:rFonts w:cs="Times New Roman"/>
        </w:rPr>
        <w:t xml:space="preserve">subtle and dispersed across different </w:t>
      </w:r>
      <w:r w:rsidR="00E32ED0" w:rsidRPr="002C2F74">
        <w:rPr>
          <w:rFonts w:cs="Times New Roman" w:hint="eastAsia"/>
        </w:rPr>
        <w:t>isoform</w:t>
      </w:r>
      <w:r w:rsidR="009E5412" w:rsidRPr="002C2F74">
        <w:rPr>
          <w:rFonts w:cs="Times New Roman"/>
        </w:rPr>
        <w:t xml:space="preserve"> groups.</w:t>
      </w:r>
    </w:p>
    <w:p w14:paraId="08EE12FA" w14:textId="14D9A674" w:rsidR="00130CF1" w:rsidRPr="002C2F74" w:rsidRDefault="00157EBE" w:rsidP="00565A82">
      <w:pPr>
        <w:snapToGrid w:val="0"/>
        <w:spacing w:line="276" w:lineRule="auto"/>
        <w:ind w:firstLine="420"/>
        <w:rPr>
          <w:rFonts w:cs="Times New Roman"/>
        </w:rPr>
      </w:pPr>
      <w:r w:rsidRPr="002C2F74">
        <w:rPr>
          <w:rFonts w:cs="Times New Roman"/>
        </w:rPr>
        <w:t>Our analyses have</w:t>
      </w:r>
      <w:r w:rsidR="008779B5" w:rsidRPr="002C2F74">
        <w:rPr>
          <w:rFonts w:cs="Times New Roman"/>
        </w:rPr>
        <w:t xml:space="preserve"> </w:t>
      </w:r>
      <w:r w:rsidR="00EF5562" w:rsidRPr="002C2F74">
        <w:rPr>
          <w:rFonts w:cs="Times New Roman"/>
        </w:rPr>
        <w:t xml:space="preserve">revealed </w:t>
      </w:r>
      <w:r w:rsidR="008779B5" w:rsidRPr="002C2F74">
        <w:rPr>
          <w:rFonts w:cs="Times New Roman"/>
        </w:rPr>
        <w:t xml:space="preserve">that </w:t>
      </w:r>
      <w:r w:rsidR="00FF743B" w:rsidRPr="002C2F74">
        <w:rPr>
          <w:rFonts w:cs="Times New Roman"/>
        </w:rPr>
        <w:t>our</w:t>
      </w:r>
      <w:r w:rsidR="008779B5" w:rsidRPr="002C2F74">
        <w:rPr>
          <w:rFonts w:cs="Times New Roman"/>
        </w:rPr>
        <w:t xml:space="preserve"> </w:t>
      </w:r>
      <w:r w:rsidRPr="002C2F74">
        <w:rPr>
          <w:rFonts w:cs="Times New Roman"/>
        </w:rPr>
        <w:t>assembled transcripts</w:t>
      </w:r>
      <w:r w:rsidR="008779B5" w:rsidRPr="002C2F74">
        <w:rPr>
          <w:rFonts w:cs="Times New Roman"/>
        </w:rPr>
        <w:t xml:space="preserve"> </w:t>
      </w:r>
      <w:r w:rsidRPr="002C2F74">
        <w:rPr>
          <w:rFonts w:cs="Times New Roman"/>
        </w:rPr>
        <w:t>cover</w:t>
      </w:r>
      <w:r w:rsidR="008779B5" w:rsidRPr="002C2F74">
        <w:rPr>
          <w:rFonts w:cs="Times New Roman"/>
        </w:rPr>
        <w:t xml:space="preserve"> 17.7% more </w:t>
      </w:r>
      <w:proofErr w:type="spellStart"/>
      <w:r w:rsidR="008779B5" w:rsidRPr="002C2F74">
        <w:rPr>
          <w:rFonts w:cs="Times New Roman"/>
        </w:rPr>
        <w:t>exonic</w:t>
      </w:r>
      <w:proofErr w:type="spellEnd"/>
      <w:r w:rsidR="008779B5" w:rsidRPr="002C2F74">
        <w:rPr>
          <w:rFonts w:cs="Times New Roman"/>
        </w:rPr>
        <w:t xml:space="preserve"> regions, 13.5% more intronic regions, and 39.7% more intergenic regions</w:t>
      </w:r>
      <w:r w:rsidR="00FD4128" w:rsidRPr="002C2F74">
        <w:rPr>
          <w:rFonts w:cs="Times New Roman"/>
        </w:rPr>
        <w:t xml:space="preserve"> when mapping our assembled transcripts to </w:t>
      </w:r>
      <w:r w:rsidRPr="002C2F74">
        <w:rPr>
          <w:rFonts w:cs="Times New Roman"/>
        </w:rPr>
        <w:t>the</w:t>
      </w:r>
      <w:r w:rsidR="008779B5" w:rsidRPr="002C2F74">
        <w:rPr>
          <w:rFonts w:cs="Times New Roman"/>
        </w:rPr>
        <w:t xml:space="preserve"> </w:t>
      </w:r>
      <w:r w:rsidR="00B352BF" w:rsidRPr="002C2F74">
        <w:rPr>
          <w:rFonts w:cs="Times New Roman"/>
        </w:rPr>
        <w:t xml:space="preserve">reference genome in </w:t>
      </w:r>
      <w:r w:rsidR="008779B5" w:rsidRPr="002C2F74">
        <w:rPr>
          <w:rFonts w:cs="Times New Roman"/>
        </w:rPr>
        <w:t>GENCODE</w:t>
      </w:r>
      <w:r w:rsidRPr="002C2F74">
        <w:rPr>
          <w:rFonts w:cs="Times New Roman"/>
        </w:rPr>
        <w:t xml:space="preserve"> </w:t>
      </w:r>
      <w:r w:rsidR="008779B5" w:rsidRPr="002C2F74">
        <w:rPr>
          <w:rFonts w:cs="Times New Roman"/>
        </w:rPr>
        <w:t>(Figure 3A)</w:t>
      </w:r>
      <w:r w:rsidR="00A72162" w:rsidRPr="002C2F74">
        <w:rPr>
          <w:rFonts w:cs="Times New Roman"/>
        </w:rPr>
        <w:t xml:space="preserve">, hence all these regions being considered </w:t>
      </w:r>
      <w:r w:rsidR="00A72162" w:rsidRPr="002C2F74">
        <w:rPr>
          <w:rFonts w:cs="Times New Roman"/>
          <w:i/>
          <w:iCs/>
        </w:rPr>
        <w:t>novel</w:t>
      </w:r>
      <w:r w:rsidR="008779B5" w:rsidRPr="002C2F74">
        <w:rPr>
          <w:rFonts w:cs="Times New Roman"/>
          <w:i/>
          <w:iCs/>
        </w:rPr>
        <w:t>.</w:t>
      </w:r>
      <w:r w:rsidR="008779B5" w:rsidRPr="002C2F74">
        <w:rPr>
          <w:rFonts w:cs="Times New Roman"/>
        </w:rPr>
        <w:t xml:space="preserve"> </w:t>
      </w:r>
      <w:r w:rsidR="000046BA" w:rsidRPr="002C2F74">
        <w:rPr>
          <w:rFonts w:cs="Times New Roman"/>
        </w:rPr>
        <w:t>The following provides a detailed analysis of our assembled transcripts and functional annotation</w:t>
      </w:r>
      <w:r w:rsidR="003A19FE">
        <w:rPr>
          <w:rFonts w:cs="Times New Roman"/>
        </w:rPr>
        <w:t>s</w:t>
      </w:r>
      <w:r w:rsidR="000046BA" w:rsidRPr="002C2F74">
        <w:rPr>
          <w:rFonts w:cs="Times New Roman"/>
        </w:rPr>
        <w:t>:</w:t>
      </w:r>
    </w:p>
    <w:p w14:paraId="0BE00139" w14:textId="0EF631BB" w:rsidR="009A4205" w:rsidRPr="002C2F74" w:rsidRDefault="00157EBE" w:rsidP="0037427E">
      <w:pPr>
        <w:snapToGrid w:val="0"/>
        <w:spacing w:line="276" w:lineRule="auto"/>
        <w:ind w:firstLine="420"/>
        <w:rPr>
          <w:rStyle w:val="src"/>
          <w:rFonts w:eastAsia="微软雅黑" w:cs="Times New Roman"/>
          <w:shd w:val="clear" w:color="auto" w:fill="FCFDFE"/>
        </w:rPr>
      </w:pPr>
      <w:r w:rsidRPr="002C2F74">
        <w:rPr>
          <w:rFonts w:cs="Times New Roman"/>
          <w:b/>
          <w:bCs/>
        </w:rPr>
        <w:t>Statistics on the</w:t>
      </w:r>
      <w:r w:rsidR="00E41435" w:rsidRPr="002C2F74">
        <w:rPr>
          <w:rFonts w:cs="Times New Roman"/>
          <w:b/>
          <w:bCs/>
        </w:rPr>
        <w:t xml:space="preserve"> </w:t>
      </w:r>
      <w:r w:rsidR="004008F1" w:rsidRPr="002C2F74">
        <w:rPr>
          <w:rFonts w:cs="Times New Roman"/>
          <w:b/>
          <w:bCs/>
        </w:rPr>
        <w:t>p</w:t>
      </w:r>
      <w:r w:rsidR="00E41435" w:rsidRPr="002C2F74">
        <w:rPr>
          <w:rFonts w:cs="Times New Roman"/>
          <w:b/>
          <w:bCs/>
        </w:rPr>
        <w:t>rotein-</w:t>
      </w:r>
      <w:r w:rsidR="004008F1" w:rsidRPr="002C2F74">
        <w:rPr>
          <w:rFonts w:cs="Times New Roman"/>
          <w:b/>
          <w:bCs/>
        </w:rPr>
        <w:t>c</w:t>
      </w:r>
      <w:r w:rsidR="00E41435" w:rsidRPr="002C2F74">
        <w:rPr>
          <w:rFonts w:cs="Times New Roman"/>
          <w:b/>
          <w:bCs/>
        </w:rPr>
        <w:t xml:space="preserve">oding </w:t>
      </w:r>
      <w:r w:rsidRPr="002C2F74">
        <w:rPr>
          <w:rFonts w:cs="Times New Roman"/>
          <w:b/>
          <w:bCs/>
        </w:rPr>
        <w:t xml:space="preserve">transcripts: </w:t>
      </w:r>
      <w:r w:rsidRPr="002C2F74">
        <w:rPr>
          <w:rFonts w:cs="Times New Roman"/>
        </w:rPr>
        <w:t>O</w:t>
      </w:r>
      <w:r w:rsidR="009B2493" w:rsidRPr="002C2F74">
        <w:rPr>
          <w:rFonts w:cs="Times New Roman"/>
        </w:rPr>
        <w:t xml:space="preserve">ur </w:t>
      </w:r>
      <w:r w:rsidRPr="002C2F74">
        <w:rPr>
          <w:rFonts w:cs="Times New Roman"/>
        </w:rPr>
        <w:t xml:space="preserve">analyses </w:t>
      </w:r>
      <w:r w:rsidR="009B2493" w:rsidRPr="002C2F74">
        <w:rPr>
          <w:rFonts w:cs="Times New Roman"/>
        </w:rPr>
        <w:t xml:space="preserve">revealed </w:t>
      </w:r>
      <w:r w:rsidR="000D14EC" w:rsidRPr="002C2F74">
        <w:rPr>
          <w:rFonts w:cs="Times New Roman"/>
        </w:rPr>
        <w:t>that</w:t>
      </w:r>
      <w:r w:rsidR="009B2493" w:rsidRPr="002C2F74">
        <w:rPr>
          <w:rFonts w:cs="Times New Roman"/>
        </w:rPr>
        <w:t xml:space="preserve"> 19.3% (19,410 out of 100,566) of the</w:t>
      </w:r>
      <w:r w:rsidR="0037427E">
        <w:rPr>
          <w:rFonts w:cs="Times New Roman"/>
        </w:rPr>
        <w:t xml:space="preserve"> existing transcripts annotated to be </w:t>
      </w:r>
      <w:r w:rsidR="009B2493" w:rsidRPr="002C2F74">
        <w:rPr>
          <w:rFonts w:cs="Times New Roman"/>
        </w:rPr>
        <w:t xml:space="preserve">protein-coding were actually non-coding (Figure 3B) and 16.28% (34,806 out of 213,785) of the protein-coding </w:t>
      </w:r>
      <w:r w:rsidR="0037427E">
        <w:rPr>
          <w:rFonts w:cs="Times New Roman"/>
        </w:rPr>
        <w:t>transcript</w:t>
      </w:r>
      <w:r w:rsidR="0037427E" w:rsidRPr="002C2F74">
        <w:rPr>
          <w:rFonts w:cs="Times New Roman"/>
        </w:rPr>
        <w:t xml:space="preserve">s </w:t>
      </w:r>
      <w:r w:rsidR="00A01ACA" w:rsidRPr="002C2F74">
        <w:rPr>
          <w:rFonts w:cs="Times New Roman"/>
        </w:rPr>
        <w:t xml:space="preserve">are </w:t>
      </w:r>
      <w:r w:rsidR="009B2493" w:rsidRPr="002C2F74">
        <w:rPr>
          <w:rFonts w:cs="Times New Roman"/>
        </w:rPr>
        <w:t>incorrect</w:t>
      </w:r>
      <w:r w:rsidR="00A01ACA" w:rsidRPr="002C2F74">
        <w:rPr>
          <w:rFonts w:cs="Times New Roman"/>
        </w:rPr>
        <w:t>ly</w:t>
      </w:r>
      <w:r w:rsidR="009B2493" w:rsidRPr="002C2F74">
        <w:rPr>
          <w:rFonts w:cs="Times New Roman"/>
        </w:rPr>
        <w:t xml:space="preserve"> assign</w:t>
      </w:r>
      <w:r w:rsidR="00C679F9" w:rsidRPr="002C2F74">
        <w:rPr>
          <w:rFonts w:cs="Times New Roman"/>
        </w:rPr>
        <w:t>ed</w:t>
      </w:r>
      <w:r w:rsidR="0037427E">
        <w:rPr>
          <w:rFonts w:cs="Times New Roman"/>
        </w:rPr>
        <w:t xml:space="preserve"> functionally</w:t>
      </w:r>
      <w:r w:rsidR="009B2493" w:rsidRPr="002C2F74">
        <w:rPr>
          <w:rFonts w:cs="Times New Roman"/>
        </w:rPr>
        <w:t xml:space="preserve"> (Figure 3C</w:t>
      </w:r>
      <w:r w:rsidR="00C679F9" w:rsidRPr="002C2F74">
        <w:rPr>
          <w:rFonts w:cs="Times New Roman"/>
        </w:rPr>
        <w:t>), where</w:t>
      </w:r>
      <w:r w:rsidR="009B2493" w:rsidRPr="002C2F74">
        <w:rPr>
          <w:rFonts w:cs="Times New Roman"/>
        </w:rPr>
        <w:t xml:space="preserve"> 100,566 </w:t>
      </w:r>
      <w:r w:rsidR="00C679F9" w:rsidRPr="002C2F74">
        <w:rPr>
          <w:rFonts w:cs="Times New Roman"/>
        </w:rPr>
        <w:t xml:space="preserve">is </w:t>
      </w:r>
      <w:r w:rsidR="009B2493" w:rsidRPr="002C2F74">
        <w:rPr>
          <w:rFonts w:cs="Times New Roman"/>
        </w:rPr>
        <w:t xml:space="preserve">the number of protein-coding transcripts in the GENCODE dataset, </w:t>
      </w:r>
      <w:r w:rsidR="00C679F9" w:rsidRPr="002C2F74">
        <w:rPr>
          <w:rFonts w:cs="Times New Roman"/>
        </w:rPr>
        <w:t xml:space="preserve">and </w:t>
      </w:r>
      <w:r w:rsidR="009B2493" w:rsidRPr="002C2F74">
        <w:rPr>
          <w:rFonts w:cs="Times New Roman"/>
        </w:rPr>
        <w:t xml:space="preserve">213,785 represents the number of protein-coding transcripts identified by </w:t>
      </w:r>
      <w:proofErr w:type="spellStart"/>
      <w:r w:rsidR="009B2493" w:rsidRPr="002C2F74">
        <w:rPr>
          <w:rFonts w:cs="Times New Roman"/>
        </w:rPr>
        <w:t>StringTie</w:t>
      </w:r>
      <w:proofErr w:type="spellEnd"/>
      <w:r w:rsidR="009B2493" w:rsidRPr="002C2F74">
        <w:rPr>
          <w:rFonts w:cs="Times New Roman"/>
        </w:rPr>
        <w:t>.</w:t>
      </w:r>
      <w:r w:rsidR="005428E2" w:rsidRPr="002C2F74">
        <w:rPr>
          <w:rStyle w:val="src"/>
          <w:rFonts w:eastAsia="微软雅黑" w:cs="Times New Roman"/>
          <w:shd w:val="clear" w:color="auto" w:fill="FCFDFE"/>
        </w:rPr>
        <w:t xml:space="preserve"> </w:t>
      </w:r>
    </w:p>
    <w:p w14:paraId="6507FBE4" w14:textId="16472B44" w:rsidR="009A4205" w:rsidRPr="002C2F74" w:rsidRDefault="009A4205" w:rsidP="009A4205">
      <w:pPr>
        <w:snapToGrid w:val="0"/>
        <w:spacing w:line="276" w:lineRule="auto"/>
        <w:ind w:firstLine="420"/>
        <w:rPr>
          <w:rStyle w:val="src"/>
          <w:rFonts w:eastAsia="微软雅黑" w:cs="Times New Roman"/>
          <w:shd w:val="clear" w:color="auto" w:fill="FCFDFE"/>
        </w:rPr>
      </w:pPr>
      <w:r w:rsidRPr="002C2F74">
        <w:rPr>
          <w:rStyle w:val="src"/>
          <w:rFonts w:eastAsia="微软雅黑" w:cs="Times New Roman"/>
          <w:shd w:val="clear" w:color="auto" w:fill="FCFDFE"/>
        </w:rPr>
        <w:t xml:space="preserve">Furthermore, we discovered 39.7% more transcripts from </w:t>
      </w:r>
      <w:r w:rsidR="009B02E3">
        <w:rPr>
          <w:rStyle w:val="src"/>
          <w:rFonts w:eastAsia="微软雅黑" w:cs="Times New Roman"/>
          <w:shd w:val="clear" w:color="auto" w:fill="FCFDFE"/>
        </w:rPr>
        <w:t xml:space="preserve">the </w:t>
      </w:r>
      <w:r w:rsidRPr="002C2F74">
        <w:rPr>
          <w:rStyle w:val="src"/>
          <w:rFonts w:eastAsia="微软雅黑" w:cs="Times New Roman"/>
          <w:shd w:val="clear" w:color="auto" w:fill="FCFDFE"/>
        </w:rPr>
        <w:t xml:space="preserve">previously unannotated protein-coding genes, </w:t>
      </w:r>
      <w:r w:rsidR="009B02E3">
        <w:rPr>
          <w:rStyle w:val="src"/>
          <w:rFonts w:eastAsia="微软雅黑" w:cs="Times New Roman"/>
          <w:shd w:val="clear" w:color="auto" w:fill="FCFDFE"/>
        </w:rPr>
        <w:t>consisting of</w:t>
      </w:r>
      <w:r w:rsidRPr="002C2F74">
        <w:rPr>
          <w:rStyle w:val="src"/>
          <w:rFonts w:eastAsia="微软雅黑" w:cs="Times New Roman"/>
          <w:shd w:val="clear" w:color="auto" w:fill="FCFDFE"/>
        </w:rPr>
        <w:t xml:space="preserve"> 17.7% novel exons and 13.5% novel introns (Figure 3D). Overall, we </w:t>
      </w:r>
      <w:r w:rsidRPr="002C2F74">
        <w:rPr>
          <w:rStyle w:val="src"/>
          <w:rFonts w:eastAsia="微软雅黑" w:cs="Times New Roman"/>
          <w:shd w:val="clear" w:color="auto" w:fill="FCFDFE"/>
        </w:rPr>
        <w:lastRenderedPageBreak/>
        <w:t xml:space="preserve">assembled 431,781 complete transcripts, corresponding to 213,785 protein-coding genes, out of which 178,979 transcripts have been functionally annotated. </w:t>
      </w:r>
    </w:p>
    <w:p w14:paraId="0D4EA520" w14:textId="13A61ACA" w:rsidR="000C24B9" w:rsidRPr="002C2F74" w:rsidRDefault="00B17E88" w:rsidP="000C24B9">
      <w:pPr>
        <w:snapToGrid w:val="0"/>
        <w:spacing w:line="276" w:lineRule="auto"/>
        <w:ind w:firstLine="420"/>
        <w:rPr>
          <w:rFonts w:cs="Times New Roman"/>
        </w:rPr>
      </w:pPr>
      <w:r w:rsidRPr="002C2F74">
        <w:rPr>
          <w:rFonts w:cs="Times New Roman"/>
          <w:b/>
          <w:bCs/>
        </w:rPr>
        <w:t xml:space="preserve">Statistics on </w:t>
      </w:r>
      <w:proofErr w:type="spellStart"/>
      <w:r w:rsidR="000038E7" w:rsidRPr="002C2F74">
        <w:rPr>
          <w:rFonts w:cs="Times New Roman"/>
          <w:b/>
          <w:bCs/>
        </w:rPr>
        <w:t>LncRNA</w:t>
      </w:r>
      <w:r w:rsidRPr="002C2F74">
        <w:rPr>
          <w:rFonts w:cs="Times New Roman"/>
          <w:b/>
          <w:bCs/>
        </w:rPr>
        <w:t>s</w:t>
      </w:r>
      <w:proofErr w:type="spellEnd"/>
      <w:r w:rsidRPr="002C2F74">
        <w:rPr>
          <w:rFonts w:cs="Times New Roman"/>
          <w:b/>
          <w:bCs/>
        </w:rPr>
        <w:t>:</w:t>
      </w:r>
      <w:r w:rsidRPr="002C2F74">
        <w:rPr>
          <w:rFonts w:cs="Times New Roman"/>
        </w:rPr>
        <w:t xml:space="preserve"> </w:t>
      </w:r>
      <w:r w:rsidR="000C24B9" w:rsidRPr="002C2F74">
        <w:rPr>
          <w:rFonts w:cs="Times New Roman"/>
        </w:rPr>
        <w:t xml:space="preserve">We identified 55,098 </w:t>
      </w:r>
      <w:proofErr w:type="spellStart"/>
      <w:r w:rsidR="000C24B9" w:rsidRPr="002C2F74">
        <w:rPr>
          <w:rFonts w:cs="Times New Roman"/>
        </w:rPr>
        <w:t>lncRNAs</w:t>
      </w:r>
      <w:proofErr w:type="spellEnd"/>
      <w:r w:rsidR="000C24B9" w:rsidRPr="002C2F74">
        <w:rPr>
          <w:rFonts w:cs="Times New Roman"/>
        </w:rPr>
        <w:t xml:space="preserve">, including 31,574 novel and 23,524 known ones (Figure 3E). Notably, 1,382 </w:t>
      </w:r>
      <w:r w:rsidR="00C1758F">
        <w:rPr>
          <w:rFonts w:cs="Times New Roman"/>
        </w:rPr>
        <w:t>originally annotated as</w:t>
      </w:r>
      <w:r w:rsidR="000C24B9" w:rsidRPr="002C2F74">
        <w:rPr>
          <w:rFonts w:cs="Times New Roman"/>
        </w:rPr>
        <w:t xml:space="preserve"> </w:t>
      </w:r>
      <w:proofErr w:type="spellStart"/>
      <w:r w:rsidR="000C24B9" w:rsidRPr="002C2F74">
        <w:rPr>
          <w:rFonts w:cs="Times New Roman"/>
        </w:rPr>
        <w:t>lncRNAs</w:t>
      </w:r>
      <w:proofErr w:type="spellEnd"/>
      <w:r w:rsidR="000C24B9" w:rsidRPr="002C2F74">
        <w:rPr>
          <w:rFonts w:cs="Times New Roman"/>
        </w:rPr>
        <w:t xml:space="preserve"> </w:t>
      </w:r>
      <w:r w:rsidR="00C1758F">
        <w:rPr>
          <w:rFonts w:cs="Times New Roman"/>
        </w:rPr>
        <w:t>have</w:t>
      </w:r>
      <w:r w:rsidR="00C1758F" w:rsidRPr="002C2F74">
        <w:rPr>
          <w:rFonts w:cs="Times New Roman"/>
        </w:rPr>
        <w:t xml:space="preserve"> </w:t>
      </w:r>
      <w:r w:rsidR="000C24B9" w:rsidRPr="002C2F74">
        <w:rPr>
          <w:rFonts w:cs="Times New Roman"/>
        </w:rPr>
        <w:t xml:space="preserve">protein-coding potential (Figure 3F), </w:t>
      </w:r>
      <w:r w:rsidR="00C1758F">
        <w:rPr>
          <w:rFonts w:cs="Times New Roman"/>
        </w:rPr>
        <w:t xml:space="preserve">hence actually protein-coding transcripts, </w:t>
      </w:r>
      <w:r w:rsidR="000C24B9" w:rsidRPr="002C2F74">
        <w:rPr>
          <w:rFonts w:cs="Times New Roman"/>
        </w:rPr>
        <w:t xml:space="preserve">while none </w:t>
      </w:r>
      <w:r w:rsidR="00C1758F">
        <w:rPr>
          <w:rFonts w:cs="Times New Roman"/>
        </w:rPr>
        <w:t>of the annotated</w:t>
      </w:r>
      <w:r w:rsidR="000C24B9" w:rsidRPr="002C2F74">
        <w:rPr>
          <w:rFonts w:cs="Times New Roman"/>
        </w:rPr>
        <w:t xml:space="preserve"> protein-coding </w:t>
      </w:r>
      <w:r w:rsidR="00C1758F">
        <w:rPr>
          <w:rFonts w:cs="Times New Roman"/>
        </w:rPr>
        <w:t>transcripts are annotated as</w:t>
      </w:r>
      <w:r w:rsidR="00C1758F" w:rsidRPr="002C2F74">
        <w:rPr>
          <w:rFonts w:cs="Times New Roman"/>
        </w:rPr>
        <w:t xml:space="preserve"> </w:t>
      </w:r>
      <w:proofErr w:type="spellStart"/>
      <w:r w:rsidR="000C24B9" w:rsidRPr="002C2F74">
        <w:rPr>
          <w:rFonts w:cs="Times New Roman"/>
        </w:rPr>
        <w:t>lncRNAs</w:t>
      </w:r>
      <w:proofErr w:type="spellEnd"/>
      <w:r w:rsidR="000C24B9" w:rsidRPr="002C2F74">
        <w:rPr>
          <w:rFonts w:cs="Times New Roman"/>
        </w:rPr>
        <w:t xml:space="preserve"> </w:t>
      </w:r>
      <w:r w:rsidR="00C1758F">
        <w:rPr>
          <w:rFonts w:cs="Times New Roman"/>
        </w:rPr>
        <w:t xml:space="preserve">by our study </w:t>
      </w:r>
      <w:r w:rsidR="000C24B9" w:rsidRPr="002C2F74">
        <w:rPr>
          <w:rFonts w:cs="Times New Roman"/>
        </w:rPr>
        <w:t>(Figure S</w:t>
      </w:r>
      <w:r w:rsidR="00A12123" w:rsidRPr="002C2F74">
        <w:rPr>
          <w:rFonts w:cs="Times New Roman" w:hint="eastAsia"/>
        </w:rPr>
        <w:t>3</w:t>
      </w:r>
      <w:r w:rsidR="000C24B9" w:rsidRPr="002C2F74">
        <w:rPr>
          <w:rFonts w:cs="Times New Roman"/>
        </w:rPr>
        <w:t xml:space="preserve">). </w:t>
      </w:r>
    </w:p>
    <w:p w14:paraId="49CFF0D6" w14:textId="77777777" w:rsidR="005311BB" w:rsidRPr="002C2F74" w:rsidRDefault="005311BB" w:rsidP="008440BE">
      <w:pPr>
        <w:snapToGrid w:val="0"/>
        <w:spacing w:line="276" w:lineRule="auto"/>
        <w:ind w:firstLine="420"/>
        <w:rPr>
          <w:rFonts w:cs="Times New Roman"/>
        </w:rPr>
      </w:pPr>
    </w:p>
    <w:p w14:paraId="51233250" w14:textId="607DE550" w:rsidR="007E0685" w:rsidRPr="002C2F74" w:rsidRDefault="00863044" w:rsidP="00A163C1">
      <w:pPr>
        <w:snapToGrid w:val="0"/>
        <w:spacing w:line="276" w:lineRule="auto"/>
        <w:rPr>
          <w:rFonts w:cs="Times New Roman"/>
          <w:b/>
          <w:bCs/>
        </w:rPr>
      </w:pPr>
      <w:r w:rsidRPr="002C2F74">
        <w:rPr>
          <w:rFonts w:cs="Times New Roman"/>
          <w:b/>
          <w:bCs/>
        </w:rPr>
        <w:t>2.</w:t>
      </w:r>
      <w:r w:rsidR="0027696C" w:rsidRPr="002C2F74">
        <w:rPr>
          <w:rFonts w:cs="Times New Roman"/>
          <w:b/>
          <w:bCs/>
        </w:rPr>
        <w:t>3</w:t>
      </w:r>
      <w:r w:rsidR="00416D16" w:rsidRPr="002C2F74">
        <w:rPr>
          <w:rFonts w:cs="Times New Roman"/>
          <w:b/>
          <w:bCs/>
        </w:rPr>
        <w:t>.</w:t>
      </w:r>
      <w:r w:rsidR="00C746D2" w:rsidRPr="002C2F74">
        <w:rPr>
          <w:rFonts w:cs="Times New Roman"/>
          <w:b/>
          <w:bCs/>
        </w:rPr>
        <w:t xml:space="preserve"> Applications of our</w:t>
      </w:r>
      <w:r w:rsidR="00950567" w:rsidRPr="002C2F74">
        <w:rPr>
          <w:rFonts w:cs="Times New Roman"/>
          <w:b/>
          <w:bCs/>
        </w:rPr>
        <w:t xml:space="preserve"> </w:t>
      </w:r>
      <w:r w:rsidR="00C746D2" w:rsidRPr="002C2F74">
        <w:rPr>
          <w:rFonts w:cs="Times New Roman"/>
          <w:b/>
          <w:bCs/>
        </w:rPr>
        <w:t xml:space="preserve">assembled </w:t>
      </w:r>
      <w:r w:rsidR="004451B3" w:rsidRPr="002C2F74">
        <w:rPr>
          <w:rFonts w:cs="Times New Roman"/>
          <w:b/>
          <w:bCs/>
        </w:rPr>
        <w:t>t</w:t>
      </w:r>
      <w:r w:rsidR="00950567" w:rsidRPr="002C2F74">
        <w:rPr>
          <w:rFonts w:cs="Times New Roman"/>
          <w:b/>
          <w:bCs/>
        </w:rPr>
        <w:t>ranscript</w:t>
      </w:r>
      <w:r w:rsidR="00C746D2" w:rsidRPr="002C2F74">
        <w:rPr>
          <w:rFonts w:cs="Times New Roman"/>
          <w:b/>
          <w:bCs/>
        </w:rPr>
        <w:t>s</w:t>
      </w:r>
    </w:p>
    <w:p w14:paraId="68512BCF" w14:textId="0CCA776B" w:rsidR="008440BE" w:rsidRPr="002C2F74" w:rsidRDefault="008440BE" w:rsidP="008440BE">
      <w:pPr>
        <w:snapToGrid w:val="0"/>
        <w:spacing w:line="276" w:lineRule="auto"/>
        <w:ind w:firstLine="420"/>
        <w:rPr>
          <w:rFonts w:cs="Times New Roman"/>
        </w:rPr>
      </w:pPr>
      <w:r w:rsidRPr="002C2F74">
        <w:rPr>
          <w:rFonts w:cs="Times New Roman"/>
        </w:rPr>
        <w:t xml:space="preserve">To verify that our </w:t>
      </w:r>
      <w:r w:rsidR="009623BF" w:rsidRPr="002C2F74">
        <w:rPr>
          <w:rFonts w:cs="Times New Roman"/>
        </w:rPr>
        <w:t xml:space="preserve">assembled </w:t>
      </w:r>
      <w:r w:rsidRPr="002C2F74">
        <w:rPr>
          <w:rFonts w:cs="Times New Roman"/>
        </w:rPr>
        <w:t xml:space="preserve">transcripts provide </w:t>
      </w:r>
      <w:r w:rsidR="00984FEA">
        <w:rPr>
          <w:rFonts w:cs="Times New Roman"/>
        </w:rPr>
        <w:t xml:space="preserve">considerably </w:t>
      </w:r>
      <w:r w:rsidRPr="002C2F74">
        <w:rPr>
          <w:rFonts w:cs="Times New Roman"/>
        </w:rPr>
        <w:t xml:space="preserve">more </w:t>
      </w:r>
      <w:r w:rsidR="009623BF" w:rsidRPr="002C2F74">
        <w:rPr>
          <w:rFonts w:cs="Times New Roman"/>
        </w:rPr>
        <w:t>information about</w:t>
      </w:r>
      <w:r w:rsidRPr="002C2F74">
        <w:rPr>
          <w:rFonts w:cs="Times New Roman"/>
        </w:rPr>
        <w:t xml:space="preserve"> </w:t>
      </w:r>
      <w:r w:rsidR="009623BF" w:rsidRPr="002C2F74">
        <w:rPr>
          <w:rFonts w:cs="Times New Roman"/>
        </w:rPr>
        <w:t xml:space="preserve">the development of </w:t>
      </w:r>
      <w:r w:rsidRPr="002C2F74">
        <w:rPr>
          <w:rFonts w:cs="Times New Roman"/>
        </w:rPr>
        <w:t>AD</w:t>
      </w:r>
      <w:r w:rsidR="00984FEA">
        <w:rPr>
          <w:rFonts w:cs="Times New Roman"/>
        </w:rPr>
        <w:t xml:space="preserve"> than the existing transcripts</w:t>
      </w:r>
      <w:r w:rsidRPr="002C2F74">
        <w:rPr>
          <w:rFonts w:cs="Times New Roman"/>
        </w:rPr>
        <w:t>, we focused on several key hallmarks of the disease: amyloid plaque formation</w:t>
      </w:r>
      <w:r w:rsidR="007334FD" w:rsidRPr="002C2F74">
        <w:rPr>
          <w:rFonts w:cs="Times New Roman" w:hint="eastAsia"/>
        </w:rPr>
        <w:t xml:space="preserve"> </w:t>
      </w:r>
      <w:r w:rsidR="007334FD" w:rsidRPr="002C2F74">
        <w:rPr>
          <w:rFonts w:cs="Times New Roman"/>
        </w:rPr>
        <w:fldChar w:fldCharType="begin"/>
      </w:r>
      <w:r w:rsidR="00E66FF7" w:rsidRPr="002C2F74">
        <w:rPr>
          <w:rFonts w:cs="Times New Roman"/>
        </w:rPr>
        <w:instrText xml:space="preserve"> ADDIN ZOTERO_ITEM CSL_CITATION {"citationID":"14UnVtoK","properties":{"formattedCitation":"[12]","plainCitation":"[12]","noteIndex":0},"citationItems":[{"id":249,"uris":["http://zotero.org/users/5158171/items/DW5CLMFR"],"itemData":{"id":249,"type":"article-journal","abstract":"The mechanism by which aggregates of the beta-amyloid peptide (Abeta) mediate their toxicity is uncertain. We show here that the expression of the 42-amino-acid isoform of Abeta (Abeta(1-42)) changes the expression of genes involved in oxidative stress in a Drosophila model of Alzheimer's disease. A subsequent genetic screen confirmed the importance of oxidative stress and a molecular dissection of the steps in the cellular metabolism of reactive oxygen species revealed that the iron-binding protein ferritin and the H(2)O(2) scavenger catalase are the most potent suppressors of the toxicity of wild-type and Arctic (E22G) Abeta(1-42). Likewise, treatment with the iron-binding compound clioquinol increased the lifespan of flies expressing Arctic Abeta(1-42). The effect of iron appears to be mediated by oxidative stress as ferritin heavy chain co-expression reduced carbonyl levels in Abeta(1-42) flies by 65% and restored the survival and locomotion function to normal. This was achieved despite the presence of elevated levels of the Abeta(1-42). Taken together, our data show that oxidative stress, probably mediated by the hydroxyl radical and generated by the Fenton reaction, is essential for Abeta(1-42) toxicity in vivo and provide strong support for Alzheimer's disease therapies based on metal chelation.","container-title":"The European Journal of Neuroscience","DOI":"10.1111/j.1460-9568.2009.06701.x","ISSN":"1460-9568","issue":"7","journalAbbreviation":"Eur. J. Neurosci.","language":"eng","page":"1335-1347","source":"PubMed","title":"Fenton chemistry and oxidative stress mediate the toxicity of the beta-amyloid peptide in a Drosophila model of Alzheimer's disease","volume":"29","author":[{"family":"Rival","given":"Thomas"},{"family":"Page","given":"Richard M."},{"family":"Chandraratna","given":"Dhianjali S."},{"family":"Sendall","given":"Timothy J."},{"family":"Ryder","given":"Edward"},{"family":"Liu","given":"Beinan"},{"family":"Lewis","given":"Huw"},{"family":"Rosahl","given":"Thomas"},{"family":"Hider","given":"Robert"},{"family":"Camargo","given":"L. M."},{"family":"Shearman","given":"Mark S."},{"family":"Crowther","given":"Damian C."},{"family":"Lomas","given":"David A."}],"issued":{"date-parts":[["2009",4]]}}}],"schema":"https://github.com/citation-style-language/schema/raw/master/csl-citation.json"} </w:instrText>
      </w:r>
      <w:r w:rsidR="007334FD" w:rsidRPr="002C2F74">
        <w:rPr>
          <w:rFonts w:cs="Times New Roman"/>
        </w:rPr>
        <w:fldChar w:fldCharType="separate"/>
      </w:r>
      <w:r w:rsidR="00E66FF7" w:rsidRPr="002C2F74">
        <w:rPr>
          <w:rFonts w:cs="Times New Roman"/>
        </w:rPr>
        <w:t>[12]</w:t>
      </w:r>
      <w:r w:rsidR="007334FD" w:rsidRPr="002C2F74">
        <w:rPr>
          <w:rFonts w:cs="Times New Roman"/>
        </w:rPr>
        <w:fldChar w:fldCharType="end"/>
      </w:r>
      <w:r w:rsidRPr="002C2F74">
        <w:rPr>
          <w:rFonts w:cs="Times New Roman"/>
        </w:rPr>
        <w:t xml:space="preserve">, </w:t>
      </w:r>
      <w:r w:rsidR="009623BF" w:rsidRPr="002C2F74">
        <w:rPr>
          <w:rFonts w:cs="Times New Roman"/>
        </w:rPr>
        <w:t>T</w:t>
      </w:r>
      <w:r w:rsidRPr="002C2F74">
        <w:rPr>
          <w:rFonts w:cs="Times New Roman"/>
        </w:rPr>
        <w:t>au fibril aggregation</w:t>
      </w:r>
      <w:r w:rsidR="007334FD" w:rsidRPr="002C2F74">
        <w:rPr>
          <w:rFonts w:cs="Times New Roman" w:hint="eastAsia"/>
        </w:rPr>
        <w:t xml:space="preserve"> </w:t>
      </w:r>
      <w:r w:rsidR="007334FD" w:rsidRPr="002C2F74">
        <w:rPr>
          <w:rFonts w:cs="Times New Roman"/>
        </w:rPr>
        <w:fldChar w:fldCharType="begin"/>
      </w:r>
      <w:r w:rsidR="00E66FF7" w:rsidRPr="002C2F74">
        <w:rPr>
          <w:rFonts w:cs="Times New Roman"/>
        </w:rPr>
        <w:instrText xml:space="preserve"> ADDIN ZOTERO_ITEM CSL_CITATION {"citationID":"mJ3Mcr5g","properties":{"formattedCitation":"[13]","plainCitation":"[13]","noteIndex":0},"citationItems":[{"id":6842,"uris":["http://zotero.org/users/5158171/items/BBQ8CBDQ"],"itemData":{"id":6842,"type":"article-journal","abstract":"The defining features of Alzheimer disease (AD) include conspicuous changes in both brain histology and behavior. The AD brain is characterized microscopically by the combined presence of 2 classes of abnormal structures, extracellular amyloid plaques and intraneuronal neurofibrillary tangles, both of which comprise highly insoluble, densely packed filaments. The soluble building blocks of these structures are amyloid-β (Aβ) peptides for plaques and tau for tangles. Amyloid-β peptides are proteolytic fragments of the transmembrane amyloid precursor protein, whereas tau is a brain-specific, axon-enriched microtubule-associated protein. The behavioral symptoms of AD correlate with the accumulation of plaques and tangles, and they are a direct consequence of the damage and destruction of synapses that mediate memory and cognition. Synapse loss can be caused by the failure of live neurons to maintain functional axons and dendrites or by neuron death. During the past dozen years, a steadily accumulating body of evidence has indicated that soluble forms of Aβ and tau work together, independently of their accumulation into plaques and tangles, to drive healthy neurons into the diseased state and that hallmark toxic properties of Aβ require tau. For instance, acute neuron death, delayed neuron death following ectopic cell cycle reentry, and synaptic dysfunction are triggered by soluble, extracellular Aβ species and depend on soluble, cytoplasmic tau. Therefore, Aβ is upstream of tau in AD pathogenesis and triggers the conversion of tau from a normal to a toxic state, but there is also evidence that toxic tau enhances Aβ toxicity via a feedback loop. Because soluble toxic aggregates of both Aβ and tau can self-propagate and spread throughout the brain by prionlike mechanisms, successful therapeutic intervention for AD would benefit from detecting these species before plaques, tangles, and cognitive impairment become evident and from interfering with the destructive biochemical pathways that they initiate.","container-title":"JAMA neurology","DOI":"10.1001/jamaneurol.2013.5847","ISSN":"2168-6157","issue":"4","journalAbbreviation":"JAMA Neurol","language":"eng","note":"PMID: 24493463","page":"505-508","source":"PubMed","title":"Amyloid-β and tau: the trigger and bullet in Alzheimer disease pathogenesis","title-short":"Amyloid-β and tau","volume":"71","author":[{"family":"Bloom","given":"George S."}],"issued":{"date-parts":[["2014",4]]}}}],"schema":"https://github.com/citation-style-language/schema/raw/master/csl-citation.json"} </w:instrText>
      </w:r>
      <w:r w:rsidR="007334FD" w:rsidRPr="002C2F74">
        <w:rPr>
          <w:rFonts w:cs="Times New Roman"/>
        </w:rPr>
        <w:fldChar w:fldCharType="separate"/>
      </w:r>
      <w:r w:rsidR="00E66FF7" w:rsidRPr="002C2F74">
        <w:rPr>
          <w:rFonts w:cs="Times New Roman"/>
        </w:rPr>
        <w:t>[13]</w:t>
      </w:r>
      <w:r w:rsidR="007334FD" w:rsidRPr="002C2F74">
        <w:rPr>
          <w:rFonts w:cs="Times New Roman"/>
        </w:rPr>
        <w:fldChar w:fldCharType="end"/>
      </w:r>
      <w:r w:rsidRPr="002C2F74">
        <w:rPr>
          <w:rFonts w:cs="Times New Roman"/>
        </w:rPr>
        <w:t>, extracellular acidosis</w:t>
      </w:r>
      <w:r w:rsidR="002E7264" w:rsidRPr="002C2F74">
        <w:rPr>
          <w:rFonts w:hint="eastAsia"/>
        </w:rPr>
        <w:t xml:space="preserve"> </w:t>
      </w:r>
      <w:r w:rsidR="002E7264" w:rsidRPr="002C2F74">
        <w:rPr>
          <w:rStyle w:val="src"/>
          <w:rFonts w:eastAsia="PingFang SC"/>
          <w:color w:val="000000" w:themeColor="text1"/>
          <w:shd w:val="clear" w:color="auto" w:fill="FFFFFF"/>
        </w:rPr>
        <w:fldChar w:fldCharType="begin"/>
      </w:r>
      <w:r w:rsidR="00E66FF7" w:rsidRPr="002C2F74">
        <w:rPr>
          <w:rStyle w:val="src"/>
          <w:rFonts w:eastAsia="PingFang SC"/>
          <w:color w:val="000000" w:themeColor="text1"/>
          <w:shd w:val="clear" w:color="auto" w:fill="FFFFFF"/>
        </w:rPr>
        <w:instrText xml:space="preserve"> ADDIN ZOTERO_ITEM CSL_CITATION {"citationID":"1Pp1UQe0","properties":{"formattedCitation":"[14]","plainCitation":"[14]","noteIndex":0},"citationItems":[{"id":1986,"uris":["http://zotero.org/users/5158171/items/5AJ8RPN4"],"itemData":{"id":1986,"type":"article-journal","abstract":"A significant drop of tissue pH or acidosis is a common feature of acute neurological conditions such as ischemic stroke, brain trauma, and epileptic seizures. Acid-sensing ion channels, or ASICs, are proton-gated cation channels widely expressed in peripheral sensory neurons and in the neurons of the central nervous system. Recent studies have demonstrated that activation of these channels by protons plays an important role in a variety of physiological and pathological processes such as nociception, mechanosensation, synaptic plasticity, and acidosis-mediated neuronal injury. This review provides an overview of the recent advance in electrophysiological, pharmacological characterization of ASICs, and their role in neurological </w:instrText>
      </w:r>
      <w:r w:rsidR="00E66FF7" w:rsidRPr="002C2F74">
        <w:rPr>
          <w:rStyle w:val="src"/>
          <w:rFonts w:eastAsia="PingFang SC" w:hint="eastAsia"/>
          <w:color w:val="000000" w:themeColor="text1"/>
          <w:shd w:val="clear" w:color="auto" w:fill="FFFFFF"/>
        </w:rPr>
        <w:instrText>diseases. Therapeutic potential of current available ASIC inhibitors is discussed.","container-title":"Current opinion in pharmacology","DOI":"10.1016/j.coph.2007.09.001","ISSN":"1471-4892","issue":"1","journalAbbreviation":"Curr Opin Pharmacol","note":"</w:instrText>
      </w:r>
      <w:r w:rsidR="00E66FF7" w:rsidRPr="002C2F74">
        <w:rPr>
          <w:rStyle w:val="src"/>
          <w:rFonts w:eastAsia="PingFang SC" w:hint="eastAsia"/>
          <w:color w:val="000000" w:themeColor="text1"/>
          <w:shd w:val="clear" w:color="auto" w:fill="FFFFFF"/>
        </w:rPr>
        <w:instrText>只是表明胞外是酸性</w:instrText>
      </w:r>
      <w:r w:rsidR="00E66FF7" w:rsidRPr="002C2F74">
        <w:rPr>
          <w:rStyle w:val="src"/>
          <w:rFonts w:eastAsia="PingFang SC" w:hint="eastAsia"/>
          <w:color w:val="000000" w:themeColor="text1"/>
          <w:shd w:val="clear" w:color="auto" w:fill="FFFFFF"/>
        </w:rPr>
        <w:instrText>","page":"25-32","source":"PubMed Central","title":"Acid-Sensing Ion Channels (ASICs) as Pharmacological Targets for Neurodegenerative Diseases","volume":"8","author":[{"family":"Xiong","given":"Zhi-Gang"},{"family":"Pignataro","given":"Giuseppe"}</w:instrText>
      </w:r>
      <w:r w:rsidR="00E66FF7" w:rsidRPr="002C2F74">
        <w:rPr>
          <w:rStyle w:val="src"/>
          <w:rFonts w:eastAsia="PingFang SC"/>
          <w:color w:val="000000" w:themeColor="text1"/>
          <w:shd w:val="clear" w:color="auto" w:fill="FFFFFF"/>
        </w:rPr>
        <w:instrText xml:space="preserve">,{"family":"Li","given":"Minghua"},{"family":"Chang","given":"Su-youne"},{"family":"Simon","given":"Roger P."}],"issued":{"date-parts":[["2008",2]]}},"label":"page"}],"schema":"https://github.com/citation-style-language/schema/raw/master/csl-citation.json"} </w:instrText>
      </w:r>
      <w:r w:rsidR="002E7264" w:rsidRPr="002C2F74">
        <w:rPr>
          <w:rStyle w:val="src"/>
          <w:rFonts w:eastAsia="PingFang SC"/>
          <w:color w:val="000000" w:themeColor="text1"/>
          <w:shd w:val="clear" w:color="auto" w:fill="FFFFFF"/>
        </w:rPr>
        <w:fldChar w:fldCharType="separate"/>
      </w:r>
      <w:r w:rsidR="00E66FF7" w:rsidRPr="002C2F74">
        <w:rPr>
          <w:rFonts w:cs="Times New Roman"/>
        </w:rPr>
        <w:t>[14]</w:t>
      </w:r>
      <w:r w:rsidR="002E7264" w:rsidRPr="002C2F74">
        <w:rPr>
          <w:rStyle w:val="src"/>
          <w:rFonts w:eastAsia="PingFang SC"/>
          <w:color w:val="000000" w:themeColor="text1"/>
          <w:shd w:val="clear" w:color="auto" w:fill="FFFFFF"/>
        </w:rPr>
        <w:fldChar w:fldCharType="end"/>
      </w:r>
      <w:r w:rsidRPr="002C2F74">
        <w:rPr>
          <w:rFonts w:cs="Times New Roman"/>
        </w:rPr>
        <w:t>, intracellular pH increase</w:t>
      </w:r>
      <w:r w:rsidR="002E7264" w:rsidRPr="002C2F74">
        <w:rPr>
          <w:rStyle w:val="src"/>
          <w:rFonts w:eastAsia="PingFang SC" w:hint="eastAsia"/>
          <w:color w:val="000000" w:themeColor="text1"/>
          <w:shd w:val="clear" w:color="auto" w:fill="FFFFFF"/>
        </w:rPr>
        <w:t xml:space="preserve"> </w:t>
      </w:r>
      <w:r w:rsidR="002E7264" w:rsidRPr="002C2F74">
        <w:rPr>
          <w:rStyle w:val="src"/>
          <w:rFonts w:eastAsia="PingFang SC"/>
          <w:color w:val="000000" w:themeColor="text1"/>
          <w:shd w:val="clear" w:color="auto" w:fill="FFFFFF"/>
        </w:rPr>
        <w:fldChar w:fldCharType="begin"/>
      </w:r>
      <w:r w:rsidR="00E66FF7" w:rsidRPr="002C2F74">
        <w:rPr>
          <w:rStyle w:val="src"/>
          <w:rFonts w:eastAsia="PingFang SC"/>
          <w:color w:val="000000" w:themeColor="text1"/>
          <w:shd w:val="clear" w:color="auto" w:fill="FFFFFF"/>
        </w:rPr>
        <w:instrText xml:space="preserve"> ADDIN ZOTERO_ITEM CSL_CITATION {"citationID":"tT505ye8","properties":{"formattedCitation":"[15]","plainCitation":"[15]","noteIndex":0},"citationItems":[{"id":8,"uris":["http://zotero.org/users/5158171/items/5F4MFKWJ"],"itemData":{"id":8,"type":"article-journal","abstract":"In Alzheimer's disease (AD), defects in essential metabolic processes for energy supply and phospholipid membrane function have been implicated in the pathological process. However, post-mortem investigations are generally limited to late stage disease and prone to tissue decay artifacts. In vivo assessments of high energy phosphates, tissue pH and phospholipid metabolites are possible by phosphorus MR spectroscopy (31P–MRS), but so far only small studies, mostly focusing on single brain regions, have been performed. Therefore, we assessed phospholipid and energy metabolism in multiple brain regions of 31 early stage AD patients and 31 age- and gender-matched controls using 31P–MRS imaging. An increase of phosphocreatine (PCr) was found in AD patients compared with controls in the retrosplenial cortex, and both hippocampi, but not in the anterior cingulate cortex. While PCr/inorganic phosphate and pH were also increased in AD, no changes were found for phospholipid metabolites. This study showed that PCr levels are specifically increased in regions that show early degeneration in AD. Together with an increased pH, this indicates an altered energy metabolism in mild AD., \n          \n            \n              •\n              Phosphocreatine and pH are increased in mild Alzheimer's disease.\n            \n            \n              •\n              Phosphocreatine increase occurs in early affected brain regions.\n            \n            \n              •\n              Brain energy metabolism may be altered in mild Alzheimer's disease.\n            \n            \n              •\n              Phospholipid and energy metabolites as well as pH, differ across brain regions.","container-title":"NeuroImage : Clinical","DOI":"10.1016/</w:instrText>
      </w:r>
      <w:r w:rsidR="00E66FF7" w:rsidRPr="002C2F74">
        <w:rPr>
          <w:rStyle w:val="src"/>
          <w:rFonts w:eastAsia="PingFang SC" w:hint="eastAsia"/>
          <w:color w:val="000000" w:themeColor="text1"/>
          <w:shd w:val="clear" w:color="auto" w:fill="FFFFFF"/>
        </w:rPr>
        <w:instrText>j.nicl.2018.01.031","ISSN":"2213-1582","journalAbbreviation":"Neuroimage Clin","note":"</w:instrText>
      </w:r>
      <w:r w:rsidR="00E66FF7" w:rsidRPr="002C2F74">
        <w:rPr>
          <w:rStyle w:val="src"/>
          <w:rFonts w:eastAsia="PingFang SC" w:hint="eastAsia"/>
          <w:color w:val="000000" w:themeColor="text1"/>
          <w:shd w:val="clear" w:color="auto" w:fill="FFFFFF"/>
        </w:rPr>
        <w:instrText>胞质碱性</w:instrText>
      </w:r>
      <w:r w:rsidR="00E66FF7" w:rsidRPr="002C2F74">
        <w:rPr>
          <w:rStyle w:val="src"/>
          <w:rFonts w:eastAsia="PingFang SC" w:hint="eastAsia"/>
          <w:color w:val="000000" w:themeColor="text1"/>
          <w:shd w:val="clear" w:color="auto" w:fill="FFFFFF"/>
        </w:rPr>
        <w:instrText>","page":"254-261","source":"PubMed Central","title":"Altered brain high-energy phosphate metabolism in mild Alzheimer's disease: A 3-dimensional 31P MR spectroscop</w:instrText>
      </w:r>
      <w:r w:rsidR="00E66FF7" w:rsidRPr="002C2F74">
        <w:rPr>
          <w:rStyle w:val="src"/>
          <w:rFonts w:eastAsia="PingFang SC"/>
          <w:color w:val="000000" w:themeColor="text1"/>
          <w:shd w:val="clear" w:color="auto" w:fill="FFFFFF"/>
        </w:rPr>
        <w:instrText xml:space="preserve">ic imaging study","title-short":"Altered brain high-energy phosphate metabolism in mild Alzheimer's disease","volume":"18","author":[{"family":"Rijpma","given":"Anne"},{"family":"Graaf","given":"Marinette","non-dropping-particle":"van der"},{"family":"Meulenbroek","given":"Olga"},{"family":"Olde Rikkert","given":"Marcel G.M."},{"family":"Heerschap","given":"Arend"}],"issued":{"date-parts":[["2018",2,28]]}}}],"schema":"https://github.com/citation-style-language/schema/raw/master/csl-citation.json"} </w:instrText>
      </w:r>
      <w:r w:rsidR="002E7264" w:rsidRPr="002C2F74">
        <w:rPr>
          <w:rStyle w:val="src"/>
          <w:rFonts w:eastAsia="PingFang SC"/>
          <w:color w:val="000000" w:themeColor="text1"/>
          <w:shd w:val="clear" w:color="auto" w:fill="FFFFFF"/>
        </w:rPr>
        <w:fldChar w:fldCharType="separate"/>
      </w:r>
      <w:r w:rsidR="00E66FF7" w:rsidRPr="002C2F74">
        <w:rPr>
          <w:rFonts w:cs="Times New Roman"/>
        </w:rPr>
        <w:t>[15]</w:t>
      </w:r>
      <w:r w:rsidR="002E7264" w:rsidRPr="002C2F74">
        <w:rPr>
          <w:rStyle w:val="src"/>
          <w:rFonts w:eastAsia="PingFang SC"/>
          <w:color w:val="000000" w:themeColor="text1"/>
          <w:shd w:val="clear" w:color="auto" w:fill="FFFFFF"/>
        </w:rPr>
        <w:fldChar w:fldCharType="end"/>
      </w:r>
      <w:r w:rsidRPr="002C2F74">
        <w:rPr>
          <w:rFonts w:cs="Times New Roman"/>
        </w:rPr>
        <w:t>, and iron accumulation</w:t>
      </w:r>
      <w:r w:rsidR="007334FD" w:rsidRPr="002C2F74">
        <w:rPr>
          <w:rFonts w:cs="Times New Roman" w:hint="eastAsia"/>
        </w:rPr>
        <w:t xml:space="preserve"> </w:t>
      </w:r>
      <w:r w:rsidR="007334FD" w:rsidRPr="002C2F74">
        <w:rPr>
          <w:rFonts w:cs="Times New Roman"/>
        </w:rPr>
        <w:fldChar w:fldCharType="begin"/>
      </w:r>
      <w:r w:rsidR="00E66FF7" w:rsidRPr="002C2F74">
        <w:rPr>
          <w:rFonts w:cs="Times New Roman"/>
        </w:rPr>
        <w:instrText xml:space="preserve"> ADDIN ZOTERO_ITEM CSL_CITATION {"citationID":"mLd6ToNX","properties":{"formattedCitation":"[12]","plainCitation":"[12]","noteIndex":0},"citationItems":[{"id":249,"uris":["http://zotero.org/users/5158171/items/DW5CLMFR"],"itemData":{"id":249,"type":"article-journal","abstract":"The mechanism by which aggregates of the beta-amyloid peptide (Abeta) mediate their toxicity is uncertain. We show here that the expression of the 42-amino-acid isoform of Abeta (Abeta(1-42)) changes the expression of genes involved in oxidative stress in a Drosophila model of Alzheimer's disease. A subsequent genetic screen confirmed the importance of oxidative stress and a molecular dissection of the steps in the cellular metabolism of reactive oxygen species revealed that the iron-binding protein ferritin and the H(2)O(2) scavenger catalase are the most potent suppressors of the toxicity of wild-type and Arctic (E22G) Abeta(1-42). Likewise, treatment with the iron-binding compound clioquinol increased the lifespan of flies expressing Arctic Abeta(1-42). The effect of iron appears to be mediated by oxidative stress as ferritin heavy chain co-expression reduced carbonyl levels in Abeta(1-42) flies by 65% and restored the survival and locomotion function to normal. This was achieved despite the presence of elevated levels of the Abeta(1-42). Taken together, our data show that oxidative stress, probably mediated by the hydroxyl radical and generated by the Fenton reaction, is essential for Abeta(1-42) toxicity in vivo and provide strong support for Alzheimer's disease therapies based on metal chelation.","container-title":"The European Journal of Neuroscience","DOI":"10.1111/j.1460-9568.2009.06701.x","ISSN":"1460-9568","issue":"7","journalAbbreviation":"Eur. J. Neurosci.","language":"eng","page":"1335-1347","source":"PubMed","title":"Fenton chemistry and oxidative stress mediate the toxicity of the beta-amyloid peptide in a Drosophila model of Alzheimer's disease","volume":"29","author":[{"family":"Rival","given":"Thomas"},{"family":"Page","given":"Richard M."},{"family":"Chandraratna","given":"Dhianjali S."},{"family":"Sendall","given":"Timothy J."},{"family":"Ryder","given":"Edward"},{"family":"Liu","given":"Beinan"},{"family":"Lewis","given":"Huw"},{"family":"Rosahl","given":"Thomas"},{"family":"Hider","given":"Robert"},{"family":"Camargo","given":"L. M."},{"family":"Shearman","given":"Mark S."},{"family":"Crowther","given":"Damian C."},{"family":"Lomas","given":"David A."}],"issued":{"date-parts":[["2009",4]]}}}],"schema":"https://github.com/citation-style-language/schema/raw/master/csl-citation.json"} </w:instrText>
      </w:r>
      <w:r w:rsidR="007334FD" w:rsidRPr="002C2F74">
        <w:rPr>
          <w:rFonts w:cs="Times New Roman"/>
        </w:rPr>
        <w:fldChar w:fldCharType="separate"/>
      </w:r>
      <w:r w:rsidR="00E66FF7" w:rsidRPr="002C2F74">
        <w:rPr>
          <w:rFonts w:cs="Times New Roman"/>
        </w:rPr>
        <w:t>[12]</w:t>
      </w:r>
      <w:r w:rsidR="007334FD" w:rsidRPr="002C2F74">
        <w:rPr>
          <w:rFonts w:cs="Times New Roman"/>
        </w:rPr>
        <w:fldChar w:fldCharType="end"/>
      </w:r>
      <w:r w:rsidRPr="002C2F74">
        <w:rPr>
          <w:rFonts w:cs="Times New Roman"/>
        </w:rPr>
        <w:t xml:space="preserve">. Additionally, we </w:t>
      </w:r>
      <w:r w:rsidR="00547609" w:rsidRPr="002C2F74">
        <w:rPr>
          <w:rFonts w:cs="Times New Roman"/>
        </w:rPr>
        <w:t xml:space="preserve">have </w:t>
      </w:r>
      <w:r w:rsidR="00FA6DEA">
        <w:rPr>
          <w:rFonts w:cs="Times New Roman"/>
        </w:rPr>
        <w:t xml:space="preserve">also </w:t>
      </w:r>
      <w:r w:rsidRPr="002C2F74">
        <w:rPr>
          <w:rFonts w:cs="Times New Roman"/>
        </w:rPr>
        <w:t>examined</w:t>
      </w:r>
      <w:r w:rsidR="00547609" w:rsidRPr="002C2F74">
        <w:rPr>
          <w:rFonts w:cs="Times New Roman" w:hint="eastAsia"/>
        </w:rPr>
        <w:t xml:space="preserve"> </w:t>
      </w:r>
      <w:r w:rsidR="00547609" w:rsidRPr="002C2F74">
        <w:rPr>
          <w:rFonts w:cs="Times New Roman"/>
        </w:rPr>
        <w:t>the functional roles</w:t>
      </w:r>
      <w:r w:rsidRPr="002C2F74">
        <w:rPr>
          <w:rFonts w:cs="Times New Roman"/>
        </w:rPr>
        <w:t xml:space="preserve"> </w:t>
      </w:r>
      <w:r w:rsidR="00547609" w:rsidRPr="002C2F74">
        <w:rPr>
          <w:rFonts w:cs="Times New Roman"/>
        </w:rPr>
        <w:t xml:space="preserve">played by </w:t>
      </w:r>
      <w:proofErr w:type="spellStart"/>
      <w:r w:rsidRPr="002C2F74">
        <w:rPr>
          <w:rFonts w:cs="Times New Roman"/>
        </w:rPr>
        <w:t>lncRNAs</w:t>
      </w:r>
      <w:proofErr w:type="spellEnd"/>
      <w:r w:rsidRPr="002C2F74">
        <w:rPr>
          <w:rFonts w:cs="Times New Roman"/>
        </w:rPr>
        <w:t xml:space="preserve"> in mediating metabolic reprogramming to alleviate extracellular acid</w:t>
      </w:r>
      <w:r w:rsidR="00547609" w:rsidRPr="002C2F74">
        <w:rPr>
          <w:rFonts w:cs="Times New Roman"/>
        </w:rPr>
        <w:t>osis</w:t>
      </w:r>
      <w:r w:rsidRPr="002C2F74">
        <w:rPr>
          <w:rFonts w:cs="Times New Roman"/>
        </w:rPr>
        <w:t xml:space="preserve"> and intracellular alkalosis.</w:t>
      </w:r>
      <w:r w:rsidR="00AA0FFD" w:rsidRPr="002C2F74">
        <w:rPr>
          <w:rFonts w:cs="Times New Roman"/>
        </w:rPr>
        <w:t xml:space="preserve"> For the simplicity of discussion, we refer to the </w:t>
      </w:r>
      <w:r w:rsidR="00AA0FFD" w:rsidRPr="002C2F74">
        <w:rPr>
          <w:rFonts w:cs="Times New Roman" w:hint="eastAsia"/>
        </w:rPr>
        <w:t>tran</w:t>
      </w:r>
      <w:r w:rsidR="00AA0FFD" w:rsidRPr="002C2F74">
        <w:rPr>
          <w:rFonts w:cs="Times New Roman"/>
        </w:rPr>
        <w:t xml:space="preserve">scripts </w:t>
      </w:r>
      <w:r w:rsidR="00204369" w:rsidRPr="002C2F74">
        <w:rPr>
          <w:rFonts w:cs="Times New Roman"/>
        </w:rPr>
        <w:t xml:space="preserve">expressed in AD and currently available in the public domain as </w:t>
      </w:r>
      <w:r w:rsidR="00204369" w:rsidRPr="002C2F74">
        <w:rPr>
          <w:rFonts w:cs="Times New Roman"/>
          <w:i/>
          <w:iCs/>
        </w:rPr>
        <w:t>the existing transcripts</w:t>
      </w:r>
      <w:r w:rsidR="00204369" w:rsidRPr="002C2F74">
        <w:rPr>
          <w:rFonts w:cs="Times New Roman"/>
        </w:rPr>
        <w:t xml:space="preserve">, and our assembled </w:t>
      </w:r>
      <w:r w:rsidR="0083272E" w:rsidRPr="002C2F74">
        <w:rPr>
          <w:rFonts w:cs="Times New Roman" w:hint="eastAsia"/>
        </w:rPr>
        <w:t>t</w:t>
      </w:r>
      <w:r w:rsidR="0083272E" w:rsidRPr="002C2F74">
        <w:rPr>
          <w:rFonts w:cs="Times New Roman"/>
        </w:rPr>
        <w:t xml:space="preserve">ranscripts using expressed RNAseq reads in AD tissues as </w:t>
      </w:r>
      <w:r w:rsidR="0083272E" w:rsidRPr="002C2F74">
        <w:rPr>
          <w:rFonts w:cs="Times New Roman"/>
          <w:i/>
          <w:iCs/>
        </w:rPr>
        <w:t>our transcripts</w:t>
      </w:r>
      <w:r w:rsidR="0083272E" w:rsidRPr="002C2F74">
        <w:rPr>
          <w:rFonts w:cs="Times New Roman"/>
        </w:rPr>
        <w:t>.</w:t>
      </w:r>
    </w:p>
    <w:p w14:paraId="7649B5D9" w14:textId="2292F81A" w:rsidR="00444EED" w:rsidRDefault="00444EED" w:rsidP="006B1509">
      <w:pPr>
        <w:snapToGrid w:val="0"/>
        <w:spacing w:line="276" w:lineRule="auto"/>
        <w:ind w:firstLine="420"/>
        <w:rPr>
          <w:rFonts w:cs="Times New Roman"/>
        </w:rPr>
      </w:pPr>
      <w:r w:rsidRPr="002C2F74">
        <w:rPr>
          <w:rFonts w:cs="Times New Roman"/>
          <w:b/>
          <w:bCs/>
        </w:rPr>
        <w:t xml:space="preserve">Amyloid </w:t>
      </w:r>
      <w:r w:rsidRPr="002C2F74">
        <w:rPr>
          <w:rFonts w:cs="Times New Roman" w:hint="eastAsia"/>
          <w:b/>
          <w:bCs/>
        </w:rPr>
        <w:t>p</w:t>
      </w:r>
      <w:r w:rsidRPr="002C2F74">
        <w:rPr>
          <w:rFonts w:cs="Times New Roman"/>
          <w:b/>
          <w:bCs/>
        </w:rPr>
        <w:t xml:space="preserve">laque </w:t>
      </w:r>
      <w:r w:rsidRPr="002C2F74">
        <w:rPr>
          <w:rFonts w:cs="Times New Roman" w:hint="eastAsia"/>
          <w:b/>
          <w:bCs/>
        </w:rPr>
        <w:t>f</w:t>
      </w:r>
      <w:r w:rsidRPr="002C2F74">
        <w:rPr>
          <w:rFonts w:cs="Times New Roman"/>
          <w:b/>
          <w:bCs/>
        </w:rPr>
        <w:t>ormation</w:t>
      </w:r>
      <w:r w:rsidRPr="002C2F74">
        <w:rPr>
          <w:rFonts w:cs="Times New Roman" w:hint="eastAsia"/>
          <w:b/>
          <w:bCs/>
        </w:rPr>
        <w:t xml:space="preserve">: </w:t>
      </w:r>
      <w:r w:rsidR="00245498" w:rsidRPr="002C2F74">
        <w:rPr>
          <w:rFonts w:cs="Times New Roman"/>
        </w:rPr>
        <w:t>T</w:t>
      </w:r>
      <w:r w:rsidRPr="002C2F74">
        <w:rPr>
          <w:rFonts w:cs="Times New Roman"/>
        </w:rPr>
        <w:t xml:space="preserve">he </w:t>
      </w:r>
      <w:r w:rsidR="00992097" w:rsidRPr="002C2F74">
        <w:rPr>
          <w:rFonts w:cs="Times New Roman"/>
        </w:rPr>
        <w:t>existing transcripts</w:t>
      </w:r>
      <w:r w:rsidR="00245498" w:rsidRPr="002C2F74">
        <w:rPr>
          <w:rFonts w:cs="Times New Roman"/>
        </w:rPr>
        <w:t xml:space="preserve"> </w:t>
      </w:r>
      <w:r w:rsidR="006D1CC4" w:rsidRPr="002C2F74">
        <w:rPr>
          <w:rFonts w:cs="Times New Roman"/>
        </w:rPr>
        <w:t xml:space="preserve">consist of </w:t>
      </w:r>
      <w:r w:rsidR="00855D8F" w:rsidRPr="002C2F74">
        <w:rPr>
          <w:rFonts w:cs="Times New Roman" w:hint="eastAsia"/>
        </w:rPr>
        <w:t>774</w:t>
      </w:r>
      <w:r w:rsidR="006D1CC4" w:rsidRPr="002C2F74">
        <w:rPr>
          <w:rFonts w:cs="Times New Roman"/>
        </w:rPr>
        <w:t xml:space="preserve"> amyloid-related transcripts vs. 85</w:t>
      </w:r>
      <w:r w:rsidR="00855D8F" w:rsidRPr="002C2F74">
        <w:rPr>
          <w:rFonts w:cs="Times New Roman" w:hint="eastAsia"/>
        </w:rPr>
        <w:t>4</w:t>
      </w:r>
      <w:r w:rsidR="006D1CC4" w:rsidRPr="002C2F74">
        <w:rPr>
          <w:rFonts w:cs="Times New Roman"/>
        </w:rPr>
        <w:t xml:space="preserve"> such transcripts in our transcripts</w:t>
      </w:r>
      <w:r w:rsidR="0017083A" w:rsidRPr="002C2F74">
        <w:rPr>
          <w:rFonts w:cs="Times New Roman"/>
        </w:rPr>
        <w:t xml:space="preserve"> (Table </w:t>
      </w:r>
      <w:r w:rsidR="00D3708F" w:rsidRPr="002C2F74">
        <w:rPr>
          <w:rFonts w:cs="Times New Roman" w:hint="eastAsia"/>
        </w:rPr>
        <w:t>3</w:t>
      </w:r>
      <w:r w:rsidR="0017083A" w:rsidRPr="002C2F74">
        <w:rPr>
          <w:rFonts w:cs="Times New Roman"/>
        </w:rPr>
        <w:t>)</w:t>
      </w:r>
      <w:r w:rsidR="006D1CC4" w:rsidRPr="002C2F74">
        <w:rPr>
          <w:rFonts w:cs="Times New Roman"/>
        </w:rPr>
        <w:t xml:space="preserve">. </w:t>
      </w:r>
      <w:r w:rsidR="0017083A" w:rsidRPr="002C2F74">
        <w:rPr>
          <w:rFonts w:cs="Times New Roman"/>
        </w:rPr>
        <w:t xml:space="preserve">The existing transcripts expressed </w:t>
      </w:r>
      <w:r w:rsidRPr="002C2F74">
        <w:rPr>
          <w:rFonts w:cs="Times New Roman"/>
        </w:rPr>
        <w:t>in the MCI group</w:t>
      </w:r>
      <w:r w:rsidR="00245498" w:rsidRPr="002C2F74">
        <w:rPr>
          <w:rFonts w:cs="Times New Roman"/>
        </w:rPr>
        <w:t xml:space="preserve"> did not enrich the pathway of amyloid formation while our transcripts </w:t>
      </w:r>
      <w:r w:rsidR="009B75F9" w:rsidRPr="002C2F74">
        <w:rPr>
          <w:rFonts w:cs="Times New Roman"/>
        </w:rPr>
        <w:t xml:space="preserve">enrich multiple related pathways such as </w:t>
      </w:r>
      <w:r w:rsidRPr="002C2F74">
        <w:rPr>
          <w:rFonts w:cs="Times New Roman"/>
        </w:rPr>
        <w:t>decline in amyloid clearance capability</w:t>
      </w:r>
      <w:r w:rsidR="009B75F9" w:rsidRPr="002C2F74">
        <w:rPr>
          <w:rFonts w:cs="Times New Roman"/>
        </w:rPr>
        <w:t xml:space="preserve"> and </w:t>
      </w:r>
      <w:r w:rsidR="00CC5A2B" w:rsidRPr="00CC5A2B">
        <w:rPr>
          <w:rFonts w:cs="Times New Roman"/>
        </w:rPr>
        <w:t>significantly elevated expression of APP precursor protein</w:t>
      </w:r>
      <w:r w:rsidR="009B75F9" w:rsidRPr="002C2F74" w:rsidDel="009B75F9">
        <w:rPr>
          <w:rFonts w:cs="Times New Roman"/>
        </w:rPr>
        <w:t xml:space="preserve"> </w:t>
      </w:r>
      <w:r w:rsidR="00FA6DEA">
        <w:rPr>
          <w:rFonts w:cs="Times New Roman"/>
        </w:rPr>
        <w:t>(</w:t>
      </w:r>
      <w:r w:rsidRPr="002C2F74">
        <w:rPr>
          <w:rFonts w:cs="Times New Roman"/>
        </w:rPr>
        <w:t xml:space="preserve">Figure 4A). </w:t>
      </w:r>
      <w:r w:rsidR="009B75F9" w:rsidRPr="002C2F74">
        <w:rPr>
          <w:rFonts w:cs="Times New Roman"/>
        </w:rPr>
        <w:t xml:space="preserve">These differences enable us to </w:t>
      </w:r>
      <w:r w:rsidR="006B1509" w:rsidRPr="002C2F74">
        <w:rPr>
          <w:rFonts w:cs="Times New Roman"/>
        </w:rPr>
        <w:t xml:space="preserve">accurately </w:t>
      </w:r>
      <w:r w:rsidRPr="002C2F74">
        <w:rPr>
          <w:rFonts w:cs="Times New Roman"/>
        </w:rPr>
        <w:t xml:space="preserve">classify normal, MCI, and AD samples </w:t>
      </w:r>
      <w:r w:rsidR="006B1509" w:rsidRPr="002C2F74">
        <w:rPr>
          <w:rFonts w:cs="Times New Roman"/>
        </w:rPr>
        <w:t>using</w:t>
      </w:r>
      <w:r w:rsidRPr="002C2F74">
        <w:rPr>
          <w:rFonts w:cs="Times New Roman"/>
        </w:rPr>
        <w:t xml:space="preserve"> amyloid</w:t>
      </w:r>
      <w:r w:rsidR="006B1509" w:rsidRPr="002C2F74">
        <w:rPr>
          <w:rFonts w:cs="Times New Roman"/>
        </w:rPr>
        <w:t>-related</w:t>
      </w:r>
      <w:r w:rsidRPr="002C2F74">
        <w:rPr>
          <w:rFonts w:cs="Times New Roman"/>
        </w:rPr>
        <w:t xml:space="preserve"> transcripts (Figure 4B). </w:t>
      </w:r>
      <w:r w:rsidR="006B1509" w:rsidRPr="002C2F74">
        <w:rPr>
          <w:rFonts w:cs="Times New Roman"/>
        </w:rPr>
        <w:t xml:space="preserve">Overall, our improved transcript dataset </w:t>
      </w:r>
      <w:r w:rsidRPr="002C2F74">
        <w:rPr>
          <w:rFonts w:cs="Times New Roman"/>
        </w:rPr>
        <w:t xml:space="preserve">provides </w:t>
      </w:r>
      <w:r w:rsidR="006B1509" w:rsidRPr="002C2F74">
        <w:rPr>
          <w:rFonts w:cs="Times New Roman"/>
        </w:rPr>
        <w:t xml:space="preserve">more information leading to </w:t>
      </w:r>
      <w:r w:rsidRPr="002C2F74">
        <w:rPr>
          <w:rFonts w:cs="Times New Roman"/>
        </w:rPr>
        <w:t xml:space="preserve">deeper insights </w:t>
      </w:r>
      <w:r w:rsidR="006B1509" w:rsidRPr="002C2F74">
        <w:rPr>
          <w:rFonts w:cs="Times New Roman"/>
        </w:rPr>
        <w:t>about</w:t>
      </w:r>
      <w:r w:rsidRPr="002C2F74">
        <w:rPr>
          <w:rFonts w:cs="Times New Roman"/>
        </w:rPr>
        <w:t xml:space="preserve"> the molecular mechanisms driving amyloid pathology, particularly in early stages of AD.</w:t>
      </w:r>
    </w:p>
    <w:p w14:paraId="6B065814" w14:textId="063355BC" w:rsidR="00FA6DEA" w:rsidRPr="003563C5" w:rsidRDefault="003563C5" w:rsidP="003563C5">
      <w:pPr>
        <w:snapToGrid w:val="0"/>
        <w:spacing w:line="276" w:lineRule="auto"/>
        <w:ind w:firstLine="420"/>
      </w:pPr>
      <w:r>
        <w:rPr>
          <w:rFonts w:cs="Times New Roman"/>
        </w:rPr>
        <w:t xml:space="preserve">One example is </w:t>
      </w:r>
      <w:r w:rsidRPr="005F39C5">
        <w:rPr>
          <w:rFonts w:cs="Times New Roman"/>
        </w:rPr>
        <w:t>that</w:t>
      </w:r>
      <w:r w:rsidRPr="003563C5">
        <w:t xml:space="preserve"> extracellular acidosis is a hallmark of AD and contributes to neuronal death. The accumulation of extracellular copper ions triggers Fenton reactions that generate OH⁻, which helps mitigate extracellular acidosis. Additionally, the hydroxyl radicals (˙OH) produced during these reactions promote the aggregation of Aβ into plaques. These amyloid plaques, in turn, form alkaline structures that further contribute to the progression of AD by stabilizing Aβ monomers and altering the extracellular environment</w:t>
      </w:r>
      <w:r>
        <w:rPr>
          <w:rFonts w:cs="Times New Roman" w:hint="eastAsia"/>
        </w:rPr>
        <w:t xml:space="preserve"> </w:t>
      </w:r>
      <w:r>
        <w:rPr>
          <w:rFonts w:cs="Times New Roman"/>
        </w:rPr>
        <w:fldChar w:fldCharType="begin"/>
      </w:r>
      <w:r>
        <w:rPr>
          <w:rFonts w:cs="Times New Roman"/>
        </w:rPr>
        <w:instrText xml:space="preserve"> ADDIN ZOTERO_ITEM CSL_CITATION {"citationID":"uOXmDhYS","properties":{"formattedCitation":"[16]","plainCitation":"[16]","noteIndex":0},"citationItems":[{"id":6519,"uris":["http://zotero.org/users/5158171/items/C2YZFAUF"],"itemData":{"id":6519,"type":"chapter","abstract":"Alzheimer’s disease (AD) is one of the most devastating and complex diseases. Currently, over 50 million patients are suffering from the disease worldwide, more women than men. Dementia is the key early symptom, which gradually progresses to the loss of major cognitive capabilities. The disease may last from a few to over 20 years starting from its first diagnosis. A range of molecular and cellular signatures of AD have been identified and some intensively studied in the past three decades, including Aβplaques, Tau fibrils, increased firing frequencies along with decreased firing amplitudes by neurons, intracellular alkalization, extracellular acidification, numerous altered metabolisms, and massive neuronal death. It has been well established that massive neuronal death is responsible for the reduced cognitive capabilities but unfortunately, its causes and key molecular mechanisms remain elusive. As of now, no medicine is available that can slowdown the disease progression. We have recently conducted comparative computational analyses of the transcriptomic data of over 339 AD tissues at both early and advanced stages versus those of 189 region-matched normal controls, all retrieved from public databases; and discovered that the key phenotypes of AD, including all the above, can be well explained in terms of (a) abnormal changes in both intracellular and extracellular pH in the AD tissue cells, and (b) a few conserved reprogrammed metabolisms induced in response to such changes for maintaining the pH levels within viable ranges. Our study, for the first time, presents a mechanistic model for AD development from the early onset to the advanced stage, which is consistent with the transcriptomic data of all the AD tissues under study as well as the phenotypes of AD outlined above and reported in the literature.","container-title":"Introduction to Condensed Matter Chemistry","ISBN":"978-0-443-16140-7","note":"DOI: 10.1016/B978-0-443-16140-7.00008-0","page":"379-405","publisher":"Elsevier","source":"ScienceDirect","title":"Chapter 14 - Understanding Alzheimer’s disease at the chemistry level","URL":"https://www.sciencedirect.com/science/article/pii/B9780443161407000080","author":[{"family":"Xu","given":"Ying"},{"family":"Huang","given":"Zhenyu"},{"family":"Mu","given":"Xuechen"}],"editor":[{"family":"Xu","given":"Ruren"},{"family":"Yu","given":"Jihong"},{"family":"Yan","given":"Wenfu"}],"accessed":{"date-parts":[["2024",6,29]]},"issued":{"date-parts":[["2024",1,1]]}}}],"schema":"https://github.com/citation-style-language/schema/raw/master/csl-citation.json"} </w:instrText>
      </w:r>
      <w:r>
        <w:rPr>
          <w:rFonts w:cs="Times New Roman"/>
        </w:rPr>
        <w:fldChar w:fldCharType="separate"/>
      </w:r>
      <w:r w:rsidRPr="005F39C5">
        <w:rPr>
          <w:rFonts w:cs="Times New Roman"/>
        </w:rPr>
        <w:t>[16]</w:t>
      </w:r>
      <w:r>
        <w:rPr>
          <w:rFonts w:cs="Times New Roman"/>
        </w:rPr>
        <w:fldChar w:fldCharType="end"/>
      </w:r>
      <w:r w:rsidRPr="003563C5">
        <w:t>.</w:t>
      </w:r>
    </w:p>
    <w:p w14:paraId="428B6B2F" w14:textId="29A16FC7" w:rsidR="005F39C5" w:rsidRDefault="00444EED" w:rsidP="00812972">
      <w:pPr>
        <w:snapToGrid w:val="0"/>
        <w:spacing w:line="276" w:lineRule="auto"/>
        <w:ind w:firstLine="420"/>
        <w:rPr>
          <w:rFonts w:cs="Times New Roman"/>
        </w:rPr>
      </w:pPr>
      <w:r w:rsidRPr="002C2F74">
        <w:rPr>
          <w:rFonts w:cs="Times New Roman"/>
          <w:b/>
          <w:bCs/>
        </w:rPr>
        <w:t xml:space="preserve">Tau </w:t>
      </w:r>
      <w:r w:rsidRPr="002C2F74">
        <w:rPr>
          <w:rFonts w:cs="Times New Roman" w:hint="eastAsia"/>
          <w:b/>
          <w:bCs/>
        </w:rPr>
        <w:t>f</w:t>
      </w:r>
      <w:r w:rsidRPr="002C2F74">
        <w:rPr>
          <w:rFonts w:cs="Times New Roman"/>
          <w:b/>
          <w:bCs/>
        </w:rPr>
        <w:t xml:space="preserve">ibril </w:t>
      </w:r>
      <w:r w:rsidRPr="002C2F74">
        <w:rPr>
          <w:rFonts w:cs="Times New Roman" w:hint="eastAsia"/>
          <w:b/>
          <w:bCs/>
        </w:rPr>
        <w:t>a</w:t>
      </w:r>
      <w:r w:rsidRPr="002C2F74">
        <w:rPr>
          <w:rFonts w:cs="Times New Roman"/>
          <w:b/>
          <w:bCs/>
        </w:rPr>
        <w:t>ggregation</w:t>
      </w:r>
      <w:r w:rsidRPr="002C2F74">
        <w:rPr>
          <w:rFonts w:cs="Times New Roman" w:hint="eastAsia"/>
          <w:b/>
          <w:bCs/>
        </w:rPr>
        <w:t xml:space="preserve">: </w:t>
      </w:r>
      <w:r w:rsidR="006969A5" w:rsidRPr="002C2F74">
        <w:rPr>
          <w:rFonts w:cs="Times New Roman"/>
        </w:rPr>
        <w:t>Our transcripts cover 34</w:t>
      </w:r>
      <w:r w:rsidR="00855D8F" w:rsidRPr="002C2F74">
        <w:rPr>
          <w:rFonts w:cs="Times New Roman" w:hint="eastAsia"/>
        </w:rPr>
        <w:t>7</w:t>
      </w:r>
      <w:r w:rsidR="006969A5" w:rsidRPr="002C2F74">
        <w:rPr>
          <w:rFonts w:cs="Times New Roman"/>
        </w:rPr>
        <w:t xml:space="preserve"> T</w:t>
      </w:r>
      <w:r w:rsidRPr="002C2F74">
        <w:rPr>
          <w:rFonts w:cs="Times New Roman"/>
        </w:rPr>
        <w:t>au</w:t>
      </w:r>
      <w:r w:rsidR="006969A5" w:rsidRPr="002C2F74">
        <w:rPr>
          <w:rFonts w:cs="Times New Roman"/>
        </w:rPr>
        <w:t xml:space="preserve"> fibril</w:t>
      </w:r>
      <w:r w:rsidRPr="002C2F74">
        <w:rPr>
          <w:rFonts w:cs="Times New Roman"/>
        </w:rPr>
        <w:t>-related transcripts</w:t>
      </w:r>
      <w:r w:rsidR="006969A5" w:rsidRPr="002C2F74">
        <w:rPr>
          <w:rFonts w:cs="Times New Roman"/>
        </w:rPr>
        <w:t>, compare</w:t>
      </w:r>
      <w:r w:rsidR="00BE09DB">
        <w:rPr>
          <w:rFonts w:cs="Times New Roman"/>
        </w:rPr>
        <w:t>d</w:t>
      </w:r>
      <w:r w:rsidR="006969A5" w:rsidRPr="002C2F74">
        <w:rPr>
          <w:rFonts w:cs="Times New Roman"/>
        </w:rPr>
        <w:t xml:space="preserve"> </w:t>
      </w:r>
      <w:r w:rsidR="006874A0" w:rsidRPr="002C2F74">
        <w:rPr>
          <w:rFonts w:cs="Times New Roman"/>
        </w:rPr>
        <w:t>to 15</w:t>
      </w:r>
      <w:r w:rsidR="00855D8F" w:rsidRPr="002C2F74">
        <w:rPr>
          <w:rFonts w:cs="Times New Roman" w:hint="eastAsia"/>
        </w:rPr>
        <w:t>4</w:t>
      </w:r>
      <w:r w:rsidRPr="002C2F74">
        <w:rPr>
          <w:rFonts w:cs="Times New Roman"/>
        </w:rPr>
        <w:t xml:space="preserve"> </w:t>
      </w:r>
      <w:r w:rsidR="006969A5" w:rsidRPr="002C2F74">
        <w:rPr>
          <w:rFonts w:cs="Times New Roman"/>
        </w:rPr>
        <w:t xml:space="preserve">in the existing transcripts </w:t>
      </w:r>
      <w:r w:rsidRPr="002C2F74">
        <w:rPr>
          <w:rFonts w:cs="Times New Roman"/>
        </w:rPr>
        <w:t xml:space="preserve">(Table </w:t>
      </w:r>
      <w:r w:rsidR="00D3708F" w:rsidRPr="002C2F74">
        <w:rPr>
          <w:rFonts w:cs="Times New Roman" w:hint="eastAsia"/>
        </w:rPr>
        <w:t>3</w:t>
      </w:r>
      <w:r w:rsidR="009909C7" w:rsidRPr="002C2F74">
        <w:rPr>
          <w:rFonts w:cs="Times New Roman"/>
        </w:rPr>
        <w:t>), which give more accurate classification among normal</w:t>
      </w:r>
      <w:r w:rsidR="00BE09DB">
        <w:rPr>
          <w:rFonts w:cs="Times New Roman"/>
        </w:rPr>
        <w:t>,</w:t>
      </w:r>
      <w:r w:rsidR="009909C7" w:rsidRPr="002C2F74">
        <w:rPr>
          <w:rFonts w:cs="Times New Roman"/>
        </w:rPr>
        <w:t xml:space="preserve"> MCI and AD samples using such transcripts as shown in </w:t>
      </w:r>
      <w:r w:rsidRPr="002C2F74">
        <w:rPr>
          <w:rFonts w:cs="Times New Roman"/>
        </w:rPr>
        <w:t>Figure S</w:t>
      </w:r>
      <w:r w:rsidR="009F36AE">
        <w:rPr>
          <w:rFonts w:cs="Times New Roman" w:hint="eastAsia"/>
        </w:rPr>
        <w:t>4</w:t>
      </w:r>
      <w:r w:rsidRPr="002C2F74">
        <w:rPr>
          <w:rFonts w:cs="Times New Roman"/>
        </w:rPr>
        <w:t xml:space="preserve">. </w:t>
      </w:r>
      <w:r w:rsidR="008963B9" w:rsidRPr="002C2F74">
        <w:rPr>
          <w:rFonts w:cs="Times New Roman"/>
        </w:rPr>
        <w:t xml:space="preserve">In addition, the significantly higher number of Tau-fibril related </w:t>
      </w:r>
      <w:r w:rsidR="0022719D" w:rsidRPr="002C2F74">
        <w:rPr>
          <w:rFonts w:cs="Times New Roman"/>
        </w:rPr>
        <w:t>differentially expressed transcripts (DET</w:t>
      </w:r>
      <w:r w:rsidR="0022719D" w:rsidRPr="002C2F74">
        <w:rPr>
          <w:rFonts w:cs="Times New Roman" w:hint="eastAsia"/>
        </w:rPr>
        <w:t>s</w:t>
      </w:r>
      <w:r w:rsidR="0022719D" w:rsidRPr="002C2F74">
        <w:rPr>
          <w:rFonts w:cs="Times New Roman"/>
        </w:rPr>
        <w:t>)</w:t>
      </w:r>
      <w:r w:rsidR="008963B9" w:rsidRPr="002C2F74">
        <w:rPr>
          <w:rFonts w:cs="Times New Roman"/>
        </w:rPr>
        <w:t xml:space="preserve"> enable more accurate understanding about the roles played by T</w:t>
      </w:r>
      <w:r w:rsidRPr="002C2F74">
        <w:rPr>
          <w:rFonts w:cs="Times New Roman"/>
        </w:rPr>
        <w:t xml:space="preserve">au hyperphosphorylation and </w:t>
      </w:r>
      <w:r w:rsidR="008963B9" w:rsidRPr="002C2F74">
        <w:rPr>
          <w:rFonts w:cs="Times New Roman"/>
        </w:rPr>
        <w:t>Tau-</w:t>
      </w:r>
      <w:r w:rsidRPr="002C2F74">
        <w:rPr>
          <w:rFonts w:cs="Times New Roman"/>
        </w:rPr>
        <w:t>fibril aggregation in AD progression</w:t>
      </w:r>
      <w:r w:rsidR="008963B9" w:rsidRPr="002C2F74">
        <w:rPr>
          <w:rFonts w:cs="Times New Roman"/>
        </w:rPr>
        <w:t xml:space="preserve"> </w:t>
      </w:r>
      <w:r w:rsidR="008963B9" w:rsidRPr="00291327">
        <w:rPr>
          <w:rFonts w:cs="Times New Roman"/>
        </w:rPr>
        <w:t>as shown in</w:t>
      </w:r>
      <w:r w:rsidR="008963B9" w:rsidRPr="002C2F74">
        <w:rPr>
          <w:rFonts w:cs="Times New Roman"/>
        </w:rPr>
        <w:t xml:space="preserve"> Figure </w:t>
      </w:r>
      <w:r w:rsidR="008D6CBB" w:rsidRPr="002C2F74">
        <w:rPr>
          <w:rFonts w:cs="Times New Roman" w:hint="eastAsia"/>
        </w:rPr>
        <w:t>S</w:t>
      </w:r>
      <w:r w:rsidR="0071087C">
        <w:rPr>
          <w:rFonts w:cs="Times New Roman" w:hint="eastAsia"/>
        </w:rPr>
        <w:t>5</w:t>
      </w:r>
      <w:r w:rsidR="008963B9" w:rsidRPr="002C2F74">
        <w:rPr>
          <w:rFonts w:cs="Times New Roman"/>
        </w:rPr>
        <w:t>.</w:t>
      </w:r>
      <w:r w:rsidR="005F39C5">
        <w:rPr>
          <w:rFonts w:cs="Times New Roman" w:hint="eastAsia"/>
        </w:rPr>
        <w:t xml:space="preserve"> </w:t>
      </w:r>
    </w:p>
    <w:p w14:paraId="74606574" w14:textId="1A1B0DF2" w:rsidR="00BE09DB" w:rsidRPr="00812972" w:rsidRDefault="005F39C5" w:rsidP="00812972">
      <w:pPr>
        <w:snapToGrid w:val="0"/>
        <w:spacing w:line="276" w:lineRule="auto"/>
        <w:ind w:firstLine="420"/>
        <w:rPr>
          <w:rFonts w:cs="Times New Roman"/>
        </w:rPr>
      </w:pPr>
      <w:r w:rsidRPr="005F39C5">
        <w:rPr>
          <w:rFonts w:cs="Times New Roman"/>
        </w:rPr>
        <w:t>A related example suggests that Tau hyperphosphorylation releases H</w:t>
      </w:r>
      <w:r w:rsidRPr="005F39C5">
        <w:rPr>
          <w:rFonts w:cs="Times New Roman"/>
          <w:vertAlign w:val="superscript"/>
        </w:rPr>
        <w:t>+</w:t>
      </w:r>
      <w:r w:rsidRPr="005F39C5">
        <w:rPr>
          <w:rFonts w:cs="Times New Roman"/>
        </w:rPr>
        <w:t>, helping mitigate intracellular pH elevation, while enriched pathways show that Tau fibril formation significantly suppresses synapse formation, leading to impaired neurotransmitter release and contributing to extracellular acidosis</w:t>
      </w:r>
      <w:r w:rsidR="00011A49">
        <w:rPr>
          <w:rFonts w:cs="Times New Roman" w:hint="eastAsia"/>
        </w:rPr>
        <w:t xml:space="preserve"> </w:t>
      </w:r>
      <w:r w:rsidR="00011A49">
        <w:rPr>
          <w:rFonts w:cs="Times New Roman"/>
        </w:rPr>
        <w:fldChar w:fldCharType="begin"/>
      </w:r>
      <w:r w:rsidR="001D3C16">
        <w:rPr>
          <w:rFonts w:cs="Times New Roman"/>
        </w:rPr>
        <w:instrText xml:space="preserve"> ADDIN ZOTERO_ITEM CSL_CITATION {"citationID":"tngoCZbM","properties":{"formattedCitation":"[16]","plainCitation":"[16]","noteIndex":0},"citationItems":[{"id":6519,"uris":["http://zotero.org/users/5158171/items/C2YZFAUF"],"itemData":{"id":6519,"type":"chapter","abstract":"Alzheimer’s disease (AD) is one of the most devastating and complex diseases. Currently, over 50 million patients are suffering from the disease worldwide, more women than men. Dementia is the key early symptom, which gradually progresses to the loss of major cognitive capabilities. The disease may last from a few to over 20 years starting from its first diagnosis. A range of molecular and cellular signatures of AD have been identified and some intensively studied in the past three decades, including Aβplaques, Tau fibrils, increased firing frequencies along with decreased firing amplitudes by neurons, intracellular alkalization, extracellular acidification, numerous altered metabolisms, and massive neuronal death. It has been well established that massive neuronal death is responsible for the reduced cognitive capabilities but unfortunately, its causes and key molecular mechanisms remain elusive. As of now, no medicine is available that can slowdown the disease progression. We have recently conducted comparative computational analyses of the transcriptomic data of over 339 AD tissues at both early and advanced stages versus those of 189 region-matched normal controls, all retrieved from public databases; and discovered that the key phenotypes of AD, including all the above, can be well explained in terms of (a) abnormal changes in both intracellular and extracellular pH in the AD tissue cells, and (b) a few conserved reprogrammed metabolisms induced in response to such changes for maintaining the pH levels within viable ranges. Our study, for the first time, presents a mechanistic model for AD development from the early onset to the advanced stage, which is consistent with the transcriptomic data of all the AD tissues under study as well as the phenotypes of AD outlined above and reported in the literature.","container-title":"Introduction to Condensed Matter Chemistry","ISBN":"978-0-443-16140-7","note":"DOI: 10.1016/B978-0-443-16140-7.00008-0","page":"379-405","publisher":"Elsevier","source":"ScienceDirect","title":"Chapter 14 - Understanding Alzheimer’s disease at the chemistry level","URL":"https://www.sciencedirect.com/science/article/pii/B9780443161407000080","author":[{"family":"Xu","given":"Ying"},{"family":"Huang","given":"Zhenyu"},{"family":"Mu","given":"Xuechen"}],"editor":[{"family":"Xu","given":"Ruren"},{"family":"Yu","given":"Jihong"},{"family":"Yan","given":"Wenfu"}],"accessed":{"date-parts":[["2024",6,29]]},"issued":{"date-parts":[["2024",1,1]]}}}],"schema":"https://github.com/citation-style-language/schema/raw/master/csl-citation.json"} </w:instrText>
      </w:r>
      <w:r w:rsidR="00011A49">
        <w:rPr>
          <w:rFonts w:cs="Times New Roman"/>
        </w:rPr>
        <w:fldChar w:fldCharType="separate"/>
      </w:r>
      <w:r w:rsidR="00011A49" w:rsidRPr="005F39C5">
        <w:rPr>
          <w:rFonts w:cs="Times New Roman"/>
        </w:rPr>
        <w:t>[16]</w:t>
      </w:r>
      <w:r w:rsidR="00011A49">
        <w:rPr>
          <w:rFonts w:cs="Times New Roman"/>
        </w:rPr>
        <w:fldChar w:fldCharType="end"/>
      </w:r>
      <w:r w:rsidR="00011A49" w:rsidRPr="005F39C5">
        <w:rPr>
          <w:rFonts w:cs="Times New Roman"/>
        </w:rPr>
        <w:t>.</w:t>
      </w:r>
    </w:p>
    <w:p w14:paraId="5608F741" w14:textId="0F817C7E" w:rsidR="002E0A5B" w:rsidRPr="002C2F74" w:rsidRDefault="002E0A5B" w:rsidP="002E0A5B">
      <w:pPr>
        <w:snapToGrid w:val="0"/>
        <w:spacing w:line="276" w:lineRule="auto"/>
        <w:ind w:firstLine="420"/>
        <w:rPr>
          <w:rFonts w:cs="Times New Roman"/>
          <w:b/>
          <w:bCs/>
        </w:rPr>
      </w:pPr>
      <w:r w:rsidRPr="002C2F74">
        <w:rPr>
          <w:rFonts w:cs="Times New Roman"/>
          <w:b/>
          <w:bCs/>
        </w:rPr>
        <w:t xml:space="preserve">Intracellular </w:t>
      </w:r>
      <w:r w:rsidRPr="002C2F74">
        <w:rPr>
          <w:rFonts w:cs="Times New Roman" w:hint="eastAsia"/>
          <w:b/>
          <w:bCs/>
        </w:rPr>
        <w:t>a</w:t>
      </w:r>
      <w:r w:rsidRPr="002C2F74">
        <w:rPr>
          <w:rFonts w:cs="Times New Roman"/>
          <w:b/>
          <w:bCs/>
        </w:rPr>
        <w:t xml:space="preserve">lkalosis and </w:t>
      </w:r>
      <w:r w:rsidRPr="002C2F74">
        <w:rPr>
          <w:rFonts w:cs="Times New Roman" w:hint="eastAsia"/>
          <w:b/>
          <w:bCs/>
        </w:rPr>
        <w:t>e</w:t>
      </w:r>
      <w:r w:rsidRPr="002C2F74">
        <w:rPr>
          <w:rFonts w:cs="Times New Roman"/>
          <w:b/>
          <w:bCs/>
        </w:rPr>
        <w:t xml:space="preserve">xtracellular </w:t>
      </w:r>
      <w:r w:rsidRPr="002C2F74">
        <w:rPr>
          <w:rFonts w:cs="Times New Roman" w:hint="eastAsia"/>
          <w:b/>
          <w:bCs/>
        </w:rPr>
        <w:t>a</w:t>
      </w:r>
      <w:r w:rsidRPr="002C2F74">
        <w:rPr>
          <w:rFonts w:cs="Times New Roman"/>
          <w:b/>
          <w:bCs/>
        </w:rPr>
        <w:t>cidosis</w:t>
      </w:r>
      <w:r w:rsidRPr="002C2F74">
        <w:rPr>
          <w:rFonts w:cs="Times New Roman" w:hint="eastAsia"/>
          <w:b/>
          <w:bCs/>
        </w:rPr>
        <w:t xml:space="preserve">: </w:t>
      </w:r>
      <w:r w:rsidRPr="002C2F74">
        <w:rPr>
          <w:rFonts w:cs="Times New Roman"/>
        </w:rPr>
        <w:t>Intracellular alkalosis and extracellular acidosis are established features of AD</w:t>
      </w:r>
      <w:r w:rsidR="006874A0" w:rsidRPr="002C2F74">
        <w:rPr>
          <w:rFonts w:cs="Times New Roman" w:hint="eastAsia"/>
        </w:rPr>
        <w:t xml:space="preserve"> </w:t>
      </w:r>
      <w:r w:rsidR="006874A0" w:rsidRPr="002C2F74">
        <w:rPr>
          <w:rStyle w:val="src"/>
          <w:rFonts w:eastAsia="PingFang SC"/>
          <w:color w:val="000000" w:themeColor="text1"/>
          <w:shd w:val="clear" w:color="auto" w:fill="FFFFFF"/>
        </w:rPr>
        <w:fldChar w:fldCharType="begin"/>
      </w:r>
      <w:r w:rsidR="006874A0" w:rsidRPr="002C2F74">
        <w:rPr>
          <w:rStyle w:val="src"/>
          <w:rFonts w:eastAsia="PingFang SC"/>
          <w:color w:val="000000" w:themeColor="text1"/>
          <w:shd w:val="clear" w:color="auto" w:fill="FFFFFF"/>
        </w:rPr>
        <w:instrText xml:space="preserve"> ADDIN ZOTERO_ITEM CSL_CITATION {"citationID":"LAxr57KW","properties":{"formattedCitation":"[14], [15]","plainCitation":"[14], [15]","noteIndex":0},"citationItems":[{"id":8,"uris":["http://zotero.org/users/5158171/items/5F4MFKWJ"],"itemData":{"id":8,"type":"article-journal","abstract":"In Alzheimer's disease (AD), defects in essential metabolic processes for energy supply and phospholipid membrane function have been implicated in the pathological process. However, post-mortem investigations are generally limited to late stage disease and prone to tissue decay artifacts. In vivo assessments of high energy phosphates, tissue pH and phospholipid metabolites are possible by phosphorus MR spectroscopy (31P–MRS), but so far only small studies, mostly focusing on single brain regions, have been performed. Therefore, we assessed phospholipid and energy metabolism in multiple brain regions of 31 early stage AD patients and 31 age- and gender-matched controls using 31P–MRS imaging. An increase of phosphocreatine (PCr) was found in AD patients compared with controls in the retrosplenial cortex, and both hippocampi, but not in the anterior cingulate cortex. While PCr/inorganic phosphate and pH were also increased in AD, no changes were found for phospholipid metabolites. This study showed that PCr levels are specifically increased in regions that show early degeneration in AD. Together with an increased pH, this indicates an altered energy metabolism in mild AD., \n          \n            \n              •\n              Phosphocreatine and pH are increased in mild Alzheimer's disease.\n            \n            \n              •\n              Phosphocreatine increase occurs in early affected brain regions.\n            \n            \n              •\n              Brain energy metabolism may be altered in mild Alzheimer's disease.\n            \n            \n              •\n              Phospholipid and energy metabolites as well as pH, differ across brain regions.","container-title":"NeuroImage : Clinical","DO</w:instrText>
      </w:r>
      <w:r w:rsidR="006874A0" w:rsidRPr="002C2F74">
        <w:rPr>
          <w:rStyle w:val="src"/>
          <w:rFonts w:eastAsia="PingFang SC" w:hint="eastAsia"/>
          <w:color w:val="000000" w:themeColor="text1"/>
          <w:shd w:val="clear" w:color="auto" w:fill="FFFFFF"/>
        </w:rPr>
        <w:instrText>I":"10.1016/j.nicl.2018.01.031","ISSN":"2213-1582","journalAbbreviation":"Neuroimage Clin","note":"</w:instrText>
      </w:r>
      <w:r w:rsidR="006874A0" w:rsidRPr="002C2F74">
        <w:rPr>
          <w:rStyle w:val="src"/>
          <w:rFonts w:eastAsia="PingFang SC" w:hint="eastAsia"/>
          <w:color w:val="000000" w:themeColor="text1"/>
          <w:shd w:val="clear" w:color="auto" w:fill="FFFFFF"/>
        </w:rPr>
        <w:instrText>胞质碱性</w:instrText>
      </w:r>
      <w:r w:rsidR="006874A0" w:rsidRPr="002C2F74">
        <w:rPr>
          <w:rStyle w:val="src"/>
          <w:rFonts w:eastAsia="PingFang SC" w:hint="eastAsia"/>
          <w:color w:val="000000" w:themeColor="text1"/>
          <w:shd w:val="clear" w:color="auto" w:fill="FFFFFF"/>
        </w:rPr>
        <w:instrText>","page":"254-261","source":"PubMed Central","title":"Altered brain high-energy phosphate metabolism in mild Alzheimer's disease: A 3-dimensional 31P MR</w:instrText>
      </w:r>
      <w:r w:rsidR="006874A0" w:rsidRPr="002C2F74">
        <w:rPr>
          <w:rStyle w:val="src"/>
          <w:rFonts w:eastAsia="PingFang SC"/>
          <w:color w:val="000000" w:themeColor="text1"/>
          <w:shd w:val="clear" w:color="auto" w:fill="FFFFFF"/>
        </w:rPr>
        <w:instrText xml:space="preserve"> spectroscopic imaging study","title-short":"Altered brain high-energy phosphate metabolism in mild Alzheimer's disease","volume":"18","author":[{"family":"Rijpma","given":"Anne"},{"family":"Graaf","given":"Marinette","non-dropping-particle":"van der"},{"family":"Meulenbroek","given":"Olga"},{"family":"Olde Rikkert","given":"Marcel G.M."},{"family":"Heerschap","given":"Arend"}],"issued":{"date-parts":[["2018",2,28]]}}},{"id":1986,"uris":["http://zotero.org/users/5158171/items/5AJ8RPN4"],"itemData":{"id":1986,"type":"article-journal","abstract":"A significant drop of tissue pH or acidosis is a common feature of acute neurological conditions such as ischemic stroke, brain trauma, and epileptic seizures. Acid-sensing ion channels, or ASICs, are proton-gated cation channels widely expressed in peripheral sensory neurons and in the neurons of the central nervous system. Recent studies have demonstrated that activation of these channels by protons plays an important role in a variety of physiological and pathological processes such as nociception, mechanosensation, synaptic plasticity, and acidosis-mediated neuronal injury. This review provides an overview of the recent advance in electrophysiological, pharmacological characterization of ASICs, and their role in neurological diseases. Therapeutic potential of current available ASIC inhibitors is discussed.","container-title":"Current opinion in pharmacology","DOI":"10.1016/j.coph.2007.09.001","ISSN":"1471-4892","issue":"1","journalAbbreviation":"Curr Opin Pharm</w:instrText>
      </w:r>
      <w:r w:rsidR="006874A0" w:rsidRPr="002C2F74">
        <w:rPr>
          <w:rStyle w:val="src"/>
          <w:rFonts w:eastAsia="PingFang SC" w:hint="eastAsia"/>
          <w:color w:val="000000" w:themeColor="text1"/>
          <w:shd w:val="clear" w:color="auto" w:fill="FFFFFF"/>
        </w:rPr>
        <w:instrText>acol","note":"</w:instrText>
      </w:r>
      <w:r w:rsidR="006874A0" w:rsidRPr="002C2F74">
        <w:rPr>
          <w:rStyle w:val="src"/>
          <w:rFonts w:eastAsia="PingFang SC" w:hint="eastAsia"/>
          <w:color w:val="000000" w:themeColor="text1"/>
          <w:shd w:val="clear" w:color="auto" w:fill="FFFFFF"/>
        </w:rPr>
        <w:instrText>只是表明胞外是酸性</w:instrText>
      </w:r>
      <w:r w:rsidR="006874A0" w:rsidRPr="002C2F74">
        <w:rPr>
          <w:rStyle w:val="src"/>
          <w:rFonts w:eastAsia="PingFang SC" w:hint="eastAsia"/>
          <w:color w:val="000000" w:themeColor="text1"/>
          <w:shd w:val="clear" w:color="auto" w:fill="FFFFFF"/>
        </w:rPr>
        <w:instrText>","page":"25-32","source":"PubMed Central","title":"Acid-Sensing Ion Channels (ASICs) as Pharmacological Targets for Neurodegenerative Diseases","volume":"8","author":[{"family":"Xiong","given":"Zhi-Gang"},{"family":"Pignataro","giv</w:instrText>
      </w:r>
      <w:r w:rsidR="006874A0" w:rsidRPr="002C2F74">
        <w:rPr>
          <w:rStyle w:val="src"/>
          <w:rFonts w:eastAsia="PingFang SC"/>
          <w:color w:val="000000" w:themeColor="text1"/>
          <w:shd w:val="clear" w:color="auto" w:fill="FFFFFF"/>
        </w:rPr>
        <w:instrText xml:space="preserve">en":"Giuseppe"},{"family":"Li","given":"Minghua"},{"family":"Chang","given":"Su-youne"},{"family":"Simon","given":"Roger P."}],"issued":{"date-parts":[["2008",2]]}},"label":"page"}],"schema":"https://github.com/citation-style-language/schema/raw/master/csl-citation.json"} </w:instrText>
      </w:r>
      <w:r w:rsidR="006874A0" w:rsidRPr="002C2F74">
        <w:rPr>
          <w:rStyle w:val="src"/>
          <w:rFonts w:eastAsia="PingFang SC"/>
          <w:color w:val="000000" w:themeColor="text1"/>
          <w:shd w:val="clear" w:color="auto" w:fill="FFFFFF"/>
        </w:rPr>
        <w:fldChar w:fldCharType="separate"/>
      </w:r>
      <w:r w:rsidR="006874A0" w:rsidRPr="002C2F74">
        <w:rPr>
          <w:rFonts w:cs="Times New Roman"/>
        </w:rPr>
        <w:t>[14, 15]</w:t>
      </w:r>
      <w:r w:rsidR="006874A0" w:rsidRPr="002C2F74">
        <w:rPr>
          <w:rStyle w:val="src"/>
          <w:rFonts w:eastAsia="PingFang SC"/>
          <w:color w:val="000000" w:themeColor="text1"/>
          <w:shd w:val="clear" w:color="auto" w:fill="FFFFFF"/>
        </w:rPr>
        <w:fldChar w:fldCharType="end"/>
      </w:r>
      <w:r w:rsidRPr="002C2F74">
        <w:rPr>
          <w:rFonts w:cs="Times New Roman"/>
        </w:rPr>
        <w:t xml:space="preserve">. Our </w:t>
      </w:r>
      <w:r w:rsidR="004F1674" w:rsidRPr="002C2F74">
        <w:rPr>
          <w:rFonts w:cs="Times New Roman"/>
        </w:rPr>
        <w:t>transcripts</w:t>
      </w:r>
      <w:r w:rsidR="00197959" w:rsidRPr="002C2F74">
        <w:rPr>
          <w:rFonts w:cs="Times New Roman"/>
        </w:rPr>
        <w:t xml:space="preserve"> consist of</w:t>
      </w:r>
      <w:r w:rsidRPr="002C2F74">
        <w:rPr>
          <w:rFonts w:cs="Times New Roman"/>
        </w:rPr>
        <w:t xml:space="preserve"> 10 </w:t>
      </w:r>
      <w:r w:rsidR="00197959" w:rsidRPr="002C2F74">
        <w:rPr>
          <w:rFonts w:cs="Times New Roman"/>
        </w:rPr>
        <w:t>more</w:t>
      </w:r>
      <w:r w:rsidRPr="002C2F74">
        <w:rPr>
          <w:rFonts w:cs="Times New Roman"/>
        </w:rPr>
        <w:t xml:space="preserve"> intracellular alkalosis </w:t>
      </w:r>
      <w:r w:rsidR="00197959" w:rsidRPr="002C2F74">
        <w:rPr>
          <w:rFonts w:cs="Times New Roman"/>
        </w:rPr>
        <w:t>related transcripts than the existing transcripts</w:t>
      </w:r>
      <w:r w:rsidR="00855D8F" w:rsidRPr="002C2F74">
        <w:rPr>
          <w:rFonts w:cs="Times New Roman" w:hint="eastAsia"/>
        </w:rPr>
        <w:t xml:space="preserve"> </w:t>
      </w:r>
      <w:r w:rsidR="00855D8F" w:rsidRPr="002C2F74">
        <w:rPr>
          <w:rFonts w:cs="Times New Roman"/>
        </w:rPr>
        <w:t xml:space="preserve">(Table </w:t>
      </w:r>
      <w:r w:rsidR="00855D8F" w:rsidRPr="002C2F74">
        <w:rPr>
          <w:rFonts w:cs="Times New Roman" w:hint="eastAsia"/>
        </w:rPr>
        <w:t>3</w:t>
      </w:r>
      <w:r w:rsidR="00855D8F" w:rsidRPr="002C2F74">
        <w:rPr>
          <w:rFonts w:cs="Times New Roman"/>
        </w:rPr>
        <w:t>)</w:t>
      </w:r>
      <w:r w:rsidRPr="002C2F74">
        <w:rPr>
          <w:rFonts w:cs="Times New Roman"/>
        </w:rPr>
        <w:t xml:space="preserve">. These transcripts </w:t>
      </w:r>
      <w:r w:rsidR="00C65F40" w:rsidRPr="002C2F74">
        <w:rPr>
          <w:rFonts w:cs="Times New Roman"/>
        </w:rPr>
        <w:t>also</w:t>
      </w:r>
      <w:r w:rsidRPr="002C2F74">
        <w:rPr>
          <w:rFonts w:cs="Times New Roman"/>
        </w:rPr>
        <w:t xml:space="preserve"> </w:t>
      </w:r>
      <w:r w:rsidR="00C65F40" w:rsidRPr="002C2F74">
        <w:rPr>
          <w:rFonts w:cs="Times New Roman"/>
        </w:rPr>
        <w:t xml:space="preserve">exhibit </w:t>
      </w:r>
      <w:r w:rsidRPr="002C2F74">
        <w:rPr>
          <w:rFonts w:cs="Times New Roman"/>
        </w:rPr>
        <w:t>significantly higher expression</w:t>
      </w:r>
      <w:r w:rsidR="00C65F40" w:rsidRPr="002C2F74">
        <w:rPr>
          <w:rFonts w:cs="Times New Roman"/>
        </w:rPr>
        <w:t>s</w:t>
      </w:r>
      <w:r w:rsidRPr="002C2F74">
        <w:rPr>
          <w:rFonts w:cs="Times New Roman"/>
        </w:rPr>
        <w:t xml:space="preserve"> in AD samples</w:t>
      </w:r>
      <w:r w:rsidR="00C65F40" w:rsidRPr="002C2F74">
        <w:rPr>
          <w:rFonts w:cs="Times New Roman"/>
        </w:rPr>
        <w:t xml:space="preserve"> than</w:t>
      </w:r>
      <w:r w:rsidRPr="002C2F74">
        <w:rPr>
          <w:rFonts w:cs="Times New Roman"/>
        </w:rPr>
        <w:t xml:space="preserve"> </w:t>
      </w:r>
      <w:r w:rsidR="00C65F40" w:rsidRPr="002C2F74">
        <w:rPr>
          <w:rFonts w:cs="Times New Roman"/>
        </w:rPr>
        <w:t xml:space="preserve">the </w:t>
      </w:r>
      <w:r w:rsidRPr="002C2F74">
        <w:rPr>
          <w:rFonts w:cs="Times New Roman"/>
        </w:rPr>
        <w:t>normal and MCI groups (Figure 4C), suggesting that intracellular alkalosis is more pronounced in AD than previously thought</w:t>
      </w:r>
      <w:r w:rsidR="00C65F40" w:rsidRPr="002C2F74">
        <w:rPr>
          <w:rFonts w:cs="Times New Roman"/>
        </w:rPr>
        <w:t xml:space="preserve"> </w:t>
      </w:r>
      <w:r w:rsidR="0003247C" w:rsidRPr="002C2F74">
        <w:rPr>
          <w:rFonts w:cs="Times New Roman"/>
          <w:color w:val="FF0000"/>
        </w:rPr>
        <w:fldChar w:fldCharType="begin"/>
      </w:r>
      <w:r w:rsidR="005F39C5">
        <w:rPr>
          <w:rFonts w:cs="Times New Roman"/>
          <w:color w:val="FF0000"/>
        </w:rPr>
        <w:instrText xml:space="preserve"> ADDIN ZOTERO_ITEM CSL_CITATION {"citationID":"0YD1Aoij","properties":{"formattedCitation":"[17]","plainCitation":"[17]","noteIndex":0},"citationItems":[{"id":6833,"uris":["http://zotero.org/users/5158171/items/G97J6IRF"],"itemData":{"id":6833,"type":"article-journal","abstract":"Alzheimer’s disease (AD) is a multifaceted neurodegenerative disorder characterized by cognitive decline and neuronal loss, representing a most challenging health issue. We present a computational analysis of transcriptomic data of AD tissues vs. healthy controls, focused on the elucidation of functional roles played by long non-coding RNAs (lncRNAs) throughout the AD progression. We first assembled our own lncRNA transcripts from the raw RNA-Seq data generated from 527 samples of the dorsolateral prefrontal cortex, resulting in the identification of 31,574 novel lncRNA genes. Based on co-expression analyses between mRNAs and lncRNAs, a co-expression network was constructed. Maximal subnetworks with dense connections were identified as functional clusters. Pathway enrichment analyses were conducted over mRNAs and lncRNAs in each cluster, which served as the basis for the inference of functional roles played by lncRNAs involved in each of the key steps in an AD development model that we have previously built based on transcriptomic data of protein-encoding genes. Detailed information is presented about the functional roles of lncRNAs in activities related to stress response, reprogrammed metabolism, cell polarity, and development. Our analyses also revealed that lncRNAs have the discerning power to distinguish between AD samples of each stage and healthy controls. This study represents the first of its kind.","container-title":"International Journal of Molecular Sciences","DOI":"10.3390/ijms25179211","ISSN":"1422-0067","issue":"17","language":"en","license":"http://creativecommons.org/licenses/by/3.0/","note":"number: 17\npublisher: Multidisciplinary Digital Publishing Institute","page":"9211","source":"www.mdpi.com","title":"Elucidating the Functional Roles of Long Non-Coding RNAs in Alzheimer’s Disease","volume":"25","author":[{"family":"Huang","given":"Zhenyu"},{"family":"Chen","given":"Qiufen"},{"family":"Mu","given":"Xuechen"},{"family":"An","given":"Zheng"},{"family":"Xu","given":"Ying"}],"issued":{"date-parts":[["2024",1]]}}}],"schema":"https://github.com/citation-style-language/schema/raw/master/csl-citation.json"} </w:instrText>
      </w:r>
      <w:r w:rsidR="0003247C" w:rsidRPr="002C2F74">
        <w:rPr>
          <w:rFonts w:cs="Times New Roman"/>
          <w:color w:val="FF0000"/>
        </w:rPr>
        <w:fldChar w:fldCharType="separate"/>
      </w:r>
      <w:r w:rsidR="005F39C5" w:rsidRPr="005F39C5">
        <w:rPr>
          <w:rFonts w:cs="Times New Roman"/>
        </w:rPr>
        <w:t>[17]</w:t>
      </w:r>
      <w:r w:rsidR="0003247C" w:rsidRPr="002C2F74">
        <w:rPr>
          <w:rFonts w:cs="Times New Roman"/>
          <w:color w:val="FF0000"/>
        </w:rPr>
        <w:fldChar w:fldCharType="end"/>
      </w:r>
      <w:r w:rsidRPr="002C2F74">
        <w:rPr>
          <w:rFonts w:cs="Times New Roman"/>
        </w:rPr>
        <w:t>.</w:t>
      </w:r>
    </w:p>
    <w:p w14:paraId="310268B5" w14:textId="38F88BDB" w:rsidR="002E0A5B" w:rsidRPr="002C2F74" w:rsidRDefault="003E1AF9" w:rsidP="003E1AF9">
      <w:pPr>
        <w:snapToGrid w:val="0"/>
        <w:spacing w:line="276" w:lineRule="auto"/>
        <w:ind w:firstLine="420"/>
        <w:rPr>
          <w:rFonts w:cs="Times New Roman"/>
        </w:rPr>
      </w:pPr>
      <w:r w:rsidRPr="002C2F74">
        <w:rPr>
          <w:rFonts w:cs="Times New Roman"/>
        </w:rPr>
        <w:t>The expression levels of ASIC2 and ASIC3, widely used biomarkers for extracellular acidosis in our transcripts are significantly higher in AD and MCI samples than the normal samples, which are bot detectable in the existing data (</w:t>
      </w:r>
      <w:r w:rsidR="002E0A5B" w:rsidRPr="002C2F74">
        <w:rPr>
          <w:rFonts w:cs="Times New Roman"/>
        </w:rPr>
        <w:t xml:space="preserve">Figure 4D). This suggests that our transcripts provide more </w:t>
      </w:r>
      <w:r w:rsidR="00A81FE4" w:rsidRPr="002C2F74">
        <w:rPr>
          <w:rFonts w:cs="Times New Roman" w:hint="eastAsia"/>
        </w:rPr>
        <w:t xml:space="preserve">information </w:t>
      </w:r>
      <w:r w:rsidR="00A81FE4" w:rsidRPr="002C2F74">
        <w:rPr>
          <w:rFonts w:cs="Times New Roman" w:hint="eastAsia"/>
        </w:rPr>
        <w:lastRenderedPageBreak/>
        <w:t>ena</w:t>
      </w:r>
      <w:r w:rsidR="00A81FE4" w:rsidRPr="002C2F74">
        <w:rPr>
          <w:rFonts w:cs="Times New Roman"/>
        </w:rPr>
        <w:t xml:space="preserve">bling for </w:t>
      </w:r>
      <w:r w:rsidR="002E0A5B" w:rsidRPr="002C2F74">
        <w:rPr>
          <w:rFonts w:cs="Times New Roman"/>
        </w:rPr>
        <w:t xml:space="preserve">detailed </w:t>
      </w:r>
      <w:r w:rsidR="00A81FE4" w:rsidRPr="002C2F74">
        <w:rPr>
          <w:rFonts w:cs="Times New Roman"/>
        </w:rPr>
        <w:t>studies</w:t>
      </w:r>
      <w:r w:rsidR="002E0A5B" w:rsidRPr="002C2F74">
        <w:rPr>
          <w:rFonts w:cs="Times New Roman"/>
        </w:rPr>
        <w:t xml:space="preserve"> of the pH </w:t>
      </w:r>
      <w:r w:rsidR="00A81FE4" w:rsidRPr="002C2F74">
        <w:rPr>
          <w:rFonts w:cs="Times New Roman"/>
        </w:rPr>
        <w:t>dys</w:t>
      </w:r>
      <w:r w:rsidR="002E0A5B" w:rsidRPr="002C2F74">
        <w:rPr>
          <w:rFonts w:cs="Times New Roman"/>
        </w:rPr>
        <w:t>regulation in AD.</w:t>
      </w:r>
    </w:p>
    <w:p w14:paraId="5EDFE960" w14:textId="3224A3BD" w:rsidR="00E8255F" w:rsidRPr="002C2F74" w:rsidRDefault="002E0A5B" w:rsidP="00FE6968">
      <w:pPr>
        <w:snapToGrid w:val="0"/>
        <w:spacing w:line="276" w:lineRule="auto"/>
        <w:ind w:firstLine="420"/>
        <w:rPr>
          <w:rFonts w:cs="Times New Roman"/>
        </w:rPr>
      </w:pPr>
      <w:r w:rsidRPr="002C2F74">
        <w:rPr>
          <w:rFonts w:cs="Times New Roman"/>
          <w:b/>
          <w:bCs/>
        </w:rPr>
        <w:t xml:space="preserve">Iron </w:t>
      </w:r>
      <w:r w:rsidRPr="002C2F74">
        <w:rPr>
          <w:rFonts w:cs="Times New Roman" w:hint="eastAsia"/>
          <w:b/>
          <w:bCs/>
        </w:rPr>
        <w:t>a</w:t>
      </w:r>
      <w:r w:rsidRPr="002C2F74">
        <w:rPr>
          <w:rFonts w:cs="Times New Roman"/>
          <w:b/>
          <w:bCs/>
        </w:rPr>
        <w:t xml:space="preserve">ccumulation and </w:t>
      </w:r>
      <w:r w:rsidRPr="002C2F74">
        <w:rPr>
          <w:rFonts w:cs="Times New Roman" w:hint="eastAsia"/>
          <w:b/>
          <w:bCs/>
        </w:rPr>
        <w:t>F</w:t>
      </w:r>
      <w:r w:rsidRPr="002C2F74">
        <w:rPr>
          <w:rFonts w:cs="Times New Roman"/>
          <w:b/>
          <w:bCs/>
        </w:rPr>
        <w:t xml:space="preserve">enton </w:t>
      </w:r>
      <w:r w:rsidRPr="002C2F74">
        <w:rPr>
          <w:rFonts w:cs="Times New Roman" w:hint="eastAsia"/>
          <w:b/>
          <w:bCs/>
        </w:rPr>
        <w:t>r</w:t>
      </w:r>
      <w:r w:rsidRPr="002C2F74">
        <w:rPr>
          <w:rFonts w:cs="Times New Roman"/>
          <w:b/>
          <w:bCs/>
        </w:rPr>
        <w:t>eactions</w:t>
      </w:r>
      <w:r w:rsidRPr="002C2F74">
        <w:rPr>
          <w:rFonts w:cs="Times New Roman" w:hint="eastAsia"/>
          <w:b/>
          <w:bCs/>
        </w:rPr>
        <w:t xml:space="preserve">: </w:t>
      </w:r>
      <w:r w:rsidR="00E8255F" w:rsidRPr="002C2F74">
        <w:rPr>
          <w:rFonts w:cs="Times New Roman"/>
        </w:rPr>
        <w:t xml:space="preserve">Previous studies have reported </w:t>
      </w:r>
      <w:r w:rsidR="00A81FE4" w:rsidRPr="002C2F74">
        <w:rPr>
          <w:rFonts w:cs="Times New Roman"/>
        </w:rPr>
        <w:t xml:space="preserve">persistent </w:t>
      </w:r>
      <w:r w:rsidR="00E8255F" w:rsidRPr="002C2F74">
        <w:rPr>
          <w:rFonts w:cs="Times New Roman"/>
        </w:rPr>
        <w:t>Fenton reactions in AD</w:t>
      </w:r>
      <w:r w:rsidR="00C25A52">
        <w:rPr>
          <w:rFonts w:cs="Times New Roman"/>
        </w:rPr>
        <w:t xml:space="preserve"> tissue cells</w:t>
      </w:r>
      <w:r w:rsidR="00E8255F" w:rsidRPr="002C2F74">
        <w:rPr>
          <w:rFonts w:cs="Times New Roman"/>
        </w:rPr>
        <w:t xml:space="preserve"> </w:t>
      </w:r>
      <w:r w:rsidR="00E8255F" w:rsidRPr="002C2F74">
        <w:rPr>
          <w:rFonts w:cs="Times New Roman"/>
        </w:rPr>
        <w:fldChar w:fldCharType="begin"/>
      </w:r>
      <w:r w:rsidR="00E66FF7" w:rsidRPr="002C2F74">
        <w:rPr>
          <w:rFonts w:cs="Times New Roman"/>
        </w:rPr>
        <w:instrText xml:space="preserve"> ADDIN ZOTERO_ITEM CSL_CITATION {"citationID":"wXZas06Z","properties":{"formattedCitation":"[12]","plainCitation":"[12]","noteIndex":0},"citationItems":[{"id":249,"uris":["http://zotero.org/users/5158171/items/DW5CLMFR"],"itemData":{"id":249,"type":"article-journal","abstract":"The mechanism by which aggregates of the beta-amyloid peptide (Abeta) mediate their toxicity is uncertain. We show here that the expression of the 42-amino-acid isoform of Abeta (Abeta(1-42)) changes the expression of genes involved in oxidative stress in a Drosophila model of Alzheimer's disease. A subsequent genetic screen confirmed the importance of oxidative stress and a molecular dissection of the steps in the cellular metabolism of reactive oxygen species revealed that the iron-binding protein ferritin and the H(2)O(2) scavenger catalase are the most potent suppressors of the toxicity of wild-type and Arctic (E22G) Abeta(1-42). Likewise, treatment with the iron-binding compound clioquinol increased the lifespan of flies expressing Arctic Abeta(1-42). The effect of iron appears to be mediated by oxidative stress as ferritin heavy chain co-expression reduced carbonyl levels in Abeta(1-42) flies by 65% and restored the survival and locomotion function to normal. This was achieved despite the presence of elevated levels of the Abeta(1-42). Taken together, our data show that oxidative stress, probably mediated by the hydroxyl radical and generated by the Fenton reaction, is essential for Abeta(1-42) toxicity in vivo and provide strong support for Alzheimer's disease therapies based on metal chelation.","container-title":"The European Journal of Neuroscience","DOI":"10.1111/j.1460-9568.2009.06701.x","ISSN":"1460-9568","issue":"7","journalAbbreviation":"Eur. J. Neurosci.","language":"eng","page":"1335-1347","source":"PubMed","title":"Fenton chemistry and oxidative stress mediate the toxicity of the beta-amyloid peptide in a Drosophila model of Alzheimer's disease","volume":"29","author":[{"family":"Rival","given":"Thomas"},{"family":"Page","given":"Richard M."},{"family":"Chandraratna","given":"Dhianjali S."},{"family":"Sendall","given":"Timothy J."},{"family":"Ryder","given":"Edward"},{"family":"Liu","given":"Beinan"},{"family":"Lewis","given":"Huw"},{"family":"Rosahl","given":"Thomas"},{"family":"Hider","given":"Robert"},{"family":"Camargo","given":"L. M."},{"family":"Shearman","given":"Mark S."},{"family":"Crowther","given":"Damian C."},{"family":"Lomas","given":"David A."}],"issued":{"date-parts":[["2009",4]]}}}],"schema":"https://github.com/citation-style-language/schema/raw/master/csl-citation.json"} </w:instrText>
      </w:r>
      <w:r w:rsidR="00E8255F" w:rsidRPr="002C2F74">
        <w:rPr>
          <w:rFonts w:cs="Times New Roman"/>
        </w:rPr>
        <w:fldChar w:fldCharType="separate"/>
      </w:r>
      <w:r w:rsidR="00E66FF7" w:rsidRPr="002C2F74">
        <w:rPr>
          <w:rFonts w:cs="Times New Roman"/>
        </w:rPr>
        <w:t>[12]</w:t>
      </w:r>
      <w:r w:rsidR="00E8255F" w:rsidRPr="002C2F74">
        <w:rPr>
          <w:rFonts w:cs="Times New Roman"/>
        </w:rPr>
        <w:fldChar w:fldCharType="end"/>
      </w:r>
      <w:r w:rsidR="00E8255F" w:rsidRPr="002C2F74">
        <w:rPr>
          <w:rFonts w:cs="Times New Roman"/>
        </w:rPr>
        <w:t xml:space="preserve"> as follows: </w:t>
      </w:r>
      <m:oMath>
        <m:sSubSup>
          <m:sSubSupPr>
            <m:ctrlPr>
              <w:rPr>
                <w:rFonts w:ascii="Cambria Math" w:hAnsi="Cambria Math" w:cs="Times New Roman"/>
                <w:iCs/>
              </w:rPr>
            </m:ctrlPr>
          </m:sSubSupPr>
          <m:e>
            <m:r>
              <m:rPr>
                <m:sty m:val="p"/>
              </m:rPr>
              <w:rPr>
                <w:rFonts w:ascii="Cambria Math" w:hAnsi="Cambria Math" w:cs="Times New Roman"/>
              </w:rPr>
              <m:t>O</m:t>
            </m:r>
          </m:e>
          <m:sub>
            <m:r>
              <m:rPr>
                <m:sty m:val="p"/>
              </m:rPr>
              <w:rPr>
                <w:rFonts w:ascii="Cambria Math" w:hAnsi="Cambria Math" w:cs="Times New Roman"/>
              </w:rPr>
              <m:t>2</m:t>
            </m:r>
          </m:sub>
          <m:sup>
            <m:r>
              <m:rPr>
                <m:sty m:val="p"/>
              </m:rPr>
              <w:rPr>
                <w:rFonts w:ascii="Cambria Math" w:hAnsi="Cambria Math" w:cs="Times New Roman"/>
              </w:rPr>
              <m:t>∙</m:t>
            </m:r>
          </m:sup>
        </m:sSubSup>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H</m:t>
            </m:r>
          </m:e>
          <m:sub>
            <m:r>
              <m:rPr>
                <m:sty m:val="p"/>
              </m:rPr>
              <w:rPr>
                <w:rFonts w:ascii="Cambria Math" w:hAnsi="Cambria Math" w:cs="Times New Roman"/>
              </w:rPr>
              <m:t>2</m:t>
            </m:r>
          </m:sub>
        </m:sSub>
        <m:sSub>
          <m:sSubPr>
            <m:ctrlPr>
              <w:rPr>
                <w:rFonts w:ascii="Cambria Math" w:hAnsi="Cambria Math" w:cs="Times New Roman"/>
                <w:iCs/>
              </w:rPr>
            </m:ctrlPr>
          </m:sSubPr>
          <m:e>
            <m:r>
              <m:rPr>
                <m:sty m:val="p"/>
              </m:rPr>
              <w:rPr>
                <w:rFonts w:ascii="Cambria Math" w:hAnsi="Cambria Math" w:cs="Times New Roman"/>
              </w:rPr>
              <m:t>O</m:t>
            </m:r>
          </m:e>
          <m:sub>
            <m:r>
              <m:rPr>
                <m:sty m:val="p"/>
              </m:rPr>
              <w:rPr>
                <w:rFonts w:ascii="Cambria Math" w:hAnsi="Cambria Math" w:cs="Times New Roman"/>
              </w:rPr>
              <m:t>2</m:t>
            </m:r>
          </m:sub>
        </m:sSub>
        <m:r>
          <m:rPr>
            <m:sty m:val="p"/>
          </m:rPr>
          <w:rPr>
            <w:rFonts w:ascii="Cambria Math" w:hAnsi="Cambria Math" w:cs="Times New Roman"/>
          </w:rPr>
          <m:t xml:space="preserve"> </m:t>
        </m:r>
        <m:box>
          <m:boxPr>
            <m:opEmu m:val="1"/>
            <m:ctrlPr>
              <w:rPr>
                <w:rFonts w:ascii="Cambria Math" w:hAnsi="Cambria Math" w:cs="Times New Roman"/>
                <w:iCs/>
              </w:rPr>
            </m:ctrlPr>
          </m:boxPr>
          <m:e>
            <m:groupChr>
              <m:groupChrPr>
                <m:chr m:val="→"/>
                <m:vertJc m:val="bot"/>
                <m:ctrlPr>
                  <w:rPr>
                    <w:rFonts w:ascii="Cambria Math" w:hAnsi="Cambria Math" w:cs="Times New Roman"/>
                    <w:iCs/>
                  </w:rPr>
                </m:ctrlPr>
              </m:groupChrPr>
              <m:e>
                <m:sSup>
                  <m:sSupPr>
                    <m:ctrlPr>
                      <w:rPr>
                        <w:rFonts w:ascii="Cambria Math" w:hAnsi="Cambria Math" w:cs="Times New Roman"/>
                        <w:iCs/>
                      </w:rPr>
                    </m:ctrlPr>
                  </m:sSupPr>
                  <m:e>
                    <m:r>
                      <m:rPr>
                        <m:sty m:val="p"/>
                      </m:rPr>
                      <w:rPr>
                        <w:rFonts w:ascii="Cambria Math" w:hAnsi="Cambria Math" w:cs="Times New Roman"/>
                      </w:rPr>
                      <m:t>Fe</m:t>
                    </m:r>
                  </m:e>
                  <m:sup>
                    <m:r>
                      <m:rPr>
                        <m:sty m:val="p"/>
                      </m:rPr>
                      <w:rPr>
                        <w:rFonts w:ascii="Cambria Math" w:hAnsi="Cambria Math" w:cs="Times New Roman"/>
                      </w:rPr>
                      <m:t>2+</m:t>
                    </m:r>
                  </m:sup>
                </m:sSup>
              </m:e>
            </m:groupChr>
          </m:e>
        </m:box>
        <m:r>
          <m:rPr>
            <m:sty m:val="p"/>
          </m:rPr>
          <w:rPr>
            <w:rFonts w:ascii="Cambria Math" w:hAnsi="Cambria Math" w:cs="Times New Roman"/>
          </w:rPr>
          <m:t xml:space="preserve">  ·OH + </m:t>
        </m:r>
        <m:sSup>
          <m:sSupPr>
            <m:ctrlPr>
              <w:rPr>
                <w:rFonts w:ascii="Cambria Math" w:hAnsi="Cambria Math" w:cs="Times New Roman"/>
                <w:iCs/>
              </w:rPr>
            </m:ctrlPr>
          </m:sSupPr>
          <m:e>
            <m:r>
              <m:rPr>
                <m:sty m:val="p"/>
              </m:rPr>
              <w:rPr>
                <w:rFonts w:ascii="Cambria Math" w:hAnsi="Cambria Math" w:cs="Times New Roman"/>
              </w:rPr>
              <m:t>OH</m:t>
            </m:r>
          </m:e>
          <m:sup>
            <m:r>
              <m:rPr>
                <m:sty m:val="p"/>
              </m:rPr>
              <w:rPr>
                <w:rFonts w:ascii="Cambria Math" w:hAnsi="Cambria Math" w:cs="Times New Roman"/>
              </w:rPr>
              <m:t>-</m:t>
            </m:r>
          </m:sup>
        </m:sSup>
        <m:r>
          <m:rPr>
            <m:sty m:val="p"/>
          </m:rPr>
          <w:rPr>
            <w:rFonts w:ascii="Cambria Math" w:hAnsi="Cambria Math" w:cs="Times New Roman"/>
          </w:rPr>
          <m:t xml:space="preserve">+ </m:t>
        </m:r>
        <m:sSub>
          <m:sSubPr>
            <m:ctrlPr>
              <w:rPr>
                <w:rFonts w:ascii="Cambria Math" w:hAnsi="Cambria Math" w:cs="Times New Roman"/>
                <w:iCs/>
              </w:rPr>
            </m:ctrlPr>
          </m:sSubPr>
          <m:e>
            <m:r>
              <m:rPr>
                <m:sty m:val="p"/>
              </m:rPr>
              <w:rPr>
                <w:rFonts w:ascii="Cambria Math" w:hAnsi="Cambria Math" w:cs="Times New Roman"/>
              </w:rPr>
              <m:t>O</m:t>
            </m:r>
          </m:e>
          <m:sub>
            <m:r>
              <m:rPr>
                <m:sty m:val="p"/>
              </m:rPr>
              <w:rPr>
                <w:rFonts w:ascii="Cambria Math" w:hAnsi="Cambria Math" w:cs="Times New Roman"/>
              </w:rPr>
              <m:t>2</m:t>
            </m:r>
          </m:sub>
        </m:sSub>
      </m:oMath>
      <w:r w:rsidR="00E8255F" w:rsidRPr="002C2F74">
        <w:rPr>
          <w:rFonts w:cs="Times New Roman"/>
        </w:rPr>
        <w:t xml:space="preserve">, where </w:t>
      </w:r>
      <m:oMath>
        <m:sSup>
          <m:sSupPr>
            <m:ctrlPr>
              <w:rPr>
                <w:rFonts w:ascii="Cambria Math" w:hAnsi="Cambria Math" w:cs="Times New Roman"/>
                <w:iCs/>
              </w:rPr>
            </m:ctrlPr>
          </m:sSupPr>
          <m:e>
            <m:r>
              <m:rPr>
                <m:sty m:val="p"/>
              </m:rPr>
              <w:rPr>
                <w:rFonts w:ascii="Cambria Math" w:hAnsi="Cambria Math" w:cs="Times New Roman"/>
              </w:rPr>
              <m:t>Fe</m:t>
            </m:r>
          </m:e>
          <m:sup>
            <m:r>
              <m:rPr>
                <m:sty m:val="p"/>
              </m:rPr>
              <w:rPr>
                <w:rFonts w:ascii="Cambria Math" w:hAnsi="Cambria Math" w:cs="Times New Roman"/>
              </w:rPr>
              <m:t>2+</m:t>
            </m:r>
          </m:sup>
        </m:sSup>
      </m:oMath>
      <w:r w:rsidR="00E8255F" w:rsidRPr="002C2F74">
        <w:rPr>
          <w:rFonts w:cs="Times New Roman"/>
        </w:rPr>
        <w:t xml:space="preserve"> serves as </w:t>
      </w:r>
      <w:r w:rsidR="00A81FE4" w:rsidRPr="002C2F74">
        <w:rPr>
          <w:rFonts w:cs="Times New Roman"/>
        </w:rPr>
        <w:t xml:space="preserve">the </w:t>
      </w:r>
      <w:r w:rsidR="00E8255F" w:rsidRPr="002C2F74">
        <w:rPr>
          <w:rFonts w:cs="Times New Roman"/>
        </w:rPr>
        <w:t xml:space="preserve">catalyst, </w:t>
      </w:r>
      <w:r w:rsidR="00A81FE4" w:rsidRPr="002C2F74">
        <w:rPr>
          <w:rFonts w:cs="Times New Roman"/>
        </w:rPr>
        <w:t xml:space="preserve">where </w:t>
      </w:r>
      <w:r w:rsidR="00E8255F" w:rsidRPr="002C2F74">
        <w:rPr>
          <w:rFonts w:cs="Times New Roman"/>
        </w:rPr>
        <w:t xml:space="preserve">iron accumulation is observed </w:t>
      </w:r>
      <w:r w:rsidR="00E8255F" w:rsidRPr="002C2F74">
        <w:rPr>
          <w:rFonts w:eastAsiaTheme="minorEastAsia" w:cs="Times New Roman"/>
          <w:shd w:val="clear" w:color="auto" w:fill="FFFFFF"/>
        </w:rPr>
        <w:fldChar w:fldCharType="begin"/>
      </w:r>
      <w:r w:rsidR="005F39C5">
        <w:rPr>
          <w:rFonts w:eastAsiaTheme="minorEastAsia" w:cs="Times New Roman"/>
          <w:shd w:val="clear" w:color="auto" w:fill="FFFFFF"/>
        </w:rPr>
        <w:instrText xml:space="preserve"> ADDIN ZOTERO_ITEM CSL_CITATION {"citationID":"hPb02L2E","properties":{"formattedCitation":"[18]","plainCitation":"[18]","noteIndex":0},"citationItems":[{"id":6108,"uris":["http://zotero.org/users/5158171/items/M9SXKFWG"],"itemData":{"id":6108,"type":"webpage","title":"Introduction to Condensed Matter Chemistry - 1st Edition | Elsevier Shop","URL":"https://shop.elsevier.com/books/introduction-to-condensed-matter-chemistry/yu/978-0-443-16140-7","accessed":{"date-parts":[["2024",4,16]]}}}],"schema":"https://github.com/citation-style-language/schema/raw/master/csl-citation.json"} </w:instrText>
      </w:r>
      <w:r w:rsidR="00E8255F" w:rsidRPr="002C2F74">
        <w:rPr>
          <w:rFonts w:eastAsiaTheme="minorEastAsia" w:cs="Times New Roman"/>
          <w:shd w:val="clear" w:color="auto" w:fill="FFFFFF"/>
        </w:rPr>
        <w:fldChar w:fldCharType="separate"/>
      </w:r>
      <w:r w:rsidR="005F39C5" w:rsidRPr="005F39C5">
        <w:rPr>
          <w:rFonts w:cs="Times New Roman"/>
        </w:rPr>
        <w:t>[18]</w:t>
      </w:r>
      <w:r w:rsidR="00E8255F" w:rsidRPr="002C2F74">
        <w:rPr>
          <w:rFonts w:eastAsiaTheme="minorEastAsia" w:cs="Times New Roman"/>
          <w:shd w:val="clear" w:color="auto" w:fill="FFFFFF"/>
        </w:rPr>
        <w:fldChar w:fldCharType="end"/>
      </w:r>
      <w:r w:rsidR="00E8255F" w:rsidRPr="002C2F74">
        <w:rPr>
          <w:rFonts w:cs="Times New Roman"/>
        </w:rPr>
        <w:t xml:space="preserve">. Our new </w:t>
      </w:r>
      <w:r w:rsidR="00C25A52">
        <w:rPr>
          <w:rFonts w:cs="Times New Roman"/>
        </w:rPr>
        <w:t>transcripts</w:t>
      </w:r>
      <w:r w:rsidR="00C25A52" w:rsidRPr="002C2F74">
        <w:rPr>
          <w:rFonts w:cs="Times New Roman"/>
        </w:rPr>
        <w:t xml:space="preserve"> </w:t>
      </w:r>
      <w:r w:rsidR="00C25A52">
        <w:rPr>
          <w:rFonts w:cs="Times New Roman"/>
        </w:rPr>
        <w:t>reveal</w:t>
      </w:r>
      <w:r w:rsidR="00E8255F" w:rsidRPr="002C2F74">
        <w:rPr>
          <w:rFonts w:cs="Times New Roman"/>
        </w:rPr>
        <w:t xml:space="preserve"> a significant increase in iron accumulation in AD (Figure 4E), </w:t>
      </w:r>
      <w:r w:rsidR="00A869AF" w:rsidRPr="002C2F74">
        <w:rPr>
          <w:rFonts w:cs="Times New Roman"/>
        </w:rPr>
        <w:t xml:space="preserve">covering </w:t>
      </w:r>
      <w:r w:rsidR="00E8255F" w:rsidRPr="002C2F74">
        <w:rPr>
          <w:rFonts w:cs="Times New Roman"/>
        </w:rPr>
        <w:t xml:space="preserve">371 </w:t>
      </w:r>
      <w:r w:rsidR="00A869AF" w:rsidRPr="002C2F74">
        <w:rPr>
          <w:rFonts w:cs="Times New Roman"/>
        </w:rPr>
        <w:t xml:space="preserve">more iron-related </w:t>
      </w:r>
      <w:r w:rsidR="00E8255F" w:rsidRPr="002C2F74">
        <w:rPr>
          <w:rFonts w:cs="Times New Roman"/>
        </w:rPr>
        <w:t>transcripts</w:t>
      </w:r>
      <w:r w:rsidR="00A869AF" w:rsidRPr="002C2F74">
        <w:rPr>
          <w:rFonts w:cs="Times New Roman"/>
        </w:rPr>
        <w:t>,</w:t>
      </w:r>
      <w:r w:rsidR="00E8255F" w:rsidRPr="002C2F74">
        <w:rPr>
          <w:rFonts w:cs="Times New Roman"/>
        </w:rPr>
        <w:t xml:space="preserve"> </w:t>
      </w:r>
      <w:r w:rsidR="00A869AF" w:rsidRPr="002C2F74">
        <w:rPr>
          <w:rFonts w:cs="Times New Roman"/>
        </w:rPr>
        <w:t xml:space="preserve">specifically </w:t>
      </w:r>
      <w:r w:rsidR="00E8255F" w:rsidRPr="002C2F74">
        <w:rPr>
          <w:rFonts w:cs="Times New Roman"/>
        </w:rPr>
        <w:t>1</w:t>
      </w:r>
      <w:r w:rsidR="00A869AF" w:rsidRPr="002C2F74">
        <w:rPr>
          <w:rFonts w:cs="Times New Roman"/>
        </w:rPr>
        <w:t>,</w:t>
      </w:r>
      <w:r w:rsidR="00E8255F" w:rsidRPr="002C2F74">
        <w:rPr>
          <w:rFonts w:cs="Times New Roman"/>
        </w:rPr>
        <w:t>26</w:t>
      </w:r>
      <w:r w:rsidR="003E6266" w:rsidRPr="002C2F74">
        <w:rPr>
          <w:rFonts w:cs="Times New Roman" w:hint="eastAsia"/>
        </w:rPr>
        <w:t>5</w:t>
      </w:r>
      <w:r w:rsidR="00E8255F" w:rsidRPr="002C2F74">
        <w:rPr>
          <w:rFonts w:cs="Times New Roman"/>
        </w:rPr>
        <w:t xml:space="preserve"> vs. </w:t>
      </w:r>
      <w:r w:rsidR="003E6266" w:rsidRPr="002C2F74">
        <w:rPr>
          <w:rFonts w:cs="Times New Roman" w:hint="eastAsia"/>
        </w:rPr>
        <w:t>904</w:t>
      </w:r>
      <w:r w:rsidR="00A869AF" w:rsidRPr="002C2F74">
        <w:rPr>
          <w:rFonts w:cs="Times New Roman"/>
        </w:rPr>
        <w:t xml:space="preserve"> in matching normal controls</w:t>
      </w:r>
      <w:r w:rsidR="00E8255F" w:rsidRPr="002C2F74">
        <w:rPr>
          <w:rFonts w:cs="Times New Roman"/>
        </w:rPr>
        <w:t xml:space="preserve">. Furthermore, we </w:t>
      </w:r>
      <w:r w:rsidR="00FE6968" w:rsidRPr="002C2F74">
        <w:rPr>
          <w:rFonts w:cs="Times New Roman"/>
        </w:rPr>
        <w:t xml:space="preserve">have </w:t>
      </w:r>
      <w:r w:rsidR="00E8255F" w:rsidRPr="002C2F74">
        <w:rPr>
          <w:rFonts w:cs="Times New Roman"/>
        </w:rPr>
        <w:t xml:space="preserve">confirmed the </w:t>
      </w:r>
      <w:r w:rsidR="00FE6968" w:rsidRPr="002C2F74">
        <w:rPr>
          <w:rFonts w:cs="Times New Roman"/>
        </w:rPr>
        <w:t xml:space="preserve">availability </w:t>
      </w:r>
      <w:r w:rsidR="00E8255F" w:rsidRPr="002C2F74">
        <w:rPr>
          <w:rFonts w:cs="Times New Roman"/>
        </w:rPr>
        <w:t xml:space="preserve">of the other reactants </w:t>
      </w:r>
      <w:r w:rsidR="00477F00" w:rsidRPr="002C2F74">
        <w:rPr>
          <w:rFonts w:cs="Times New Roman"/>
        </w:rPr>
        <w:t>of</w:t>
      </w:r>
      <w:r w:rsidR="00E8255F" w:rsidRPr="002C2F74">
        <w:rPr>
          <w:rFonts w:cs="Times New Roman"/>
        </w:rPr>
        <w:t xml:space="preserve"> the Fenton reaction, </w:t>
      </w:r>
      <w:r w:rsidR="00477F00" w:rsidRPr="002C2F74">
        <w:rPr>
          <w:rFonts w:cs="Times New Roman"/>
        </w:rPr>
        <w:t xml:space="preserve">namely </w:t>
      </w:r>
      <w:r w:rsidR="00E8255F" w:rsidRPr="002C2F74">
        <w:rPr>
          <w:rFonts w:cs="Times New Roman"/>
        </w:rPr>
        <w:t xml:space="preserve">superoxide anion and hydrogen peroxide based on our </w:t>
      </w:r>
      <w:r w:rsidR="00477F00" w:rsidRPr="002C2F74">
        <w:rPr>
          <w:rFonts w:cs="Times New Roman"/>
        </w:rPr>
        <w:t xml:space="preserve">previous work </w:t>
      </w:r>
      <w:r w:rsidR="00C456D6" w:rsidRPr="002C2F74">
        <w:rPr>
          <w:rFonts w:cs="Times New Roman"/>
        </w:rPr>
        <w:fldChar w:fldCharType="begin"/>
      </w:r>
      <w:r w:rsidR="005F39C5">
        <w:rPr>
          <w:rFonts w:cs="Times New Roman"/>
        </w:rPr>
        <w:instrText xml:space="preserve"> ADDIN ZOTERO_ITEM CSL_CITATION {"citationID":"x53k4QgN","properties":{"formattedCitation":"[17]","plainCitation":"[17]","noteIndex":0},"citationItems":[{"id":6833,"uris":["http://zotero.org/users/5158171/items/G97J6IRF"],"itemData":{"id":6833,"type":"article-journal","abstract":"Alzheimer’s disease (AD) is a multifaceted neurodegenerative disorder characterized by cognitive decline and neuronal loss, representing a most challenging health issue. We present a computational analysis of transcriptomic data of AD tissues vs. healthy controls, focused on the elucidation of functional roles played by long non-coding RNAs (lncRNAs) throughout the AD progression. We first assembled our own lncRNA transcripts from the raw RNA-Seq data generated from 527 samples of the dorsolateral prefrontal cortex, resulting in the identification of 31,574 novel lncRNA genes. Based on co-expression analyses between mRNAs and lncRNAs, a co-expression network was constructed. Maximal subnetworks with dense connections were identified as functional clusters. Pathway enrichment analyses were conducted over mRNAs and lncRNAs in each cluster, which served as the basis for the inference of functional roles played by lncRNAs involved in each of the key steps in an AD development model that we have previously built based on transcriptomic data of protein-encoding genes. Detailed information is presented about the functional roles of lncRNAs in activities related to stress response, reprogrammed metabolism, cell polarity, and development. Our analyses also revealed that lncRNAs have the discerning power to distinguish between AD samples of each stage and healthy controls. This study represents the first of its kind.","container-title":"International Journal of Molecular Sciences","DOI":"10.3390/ijms25179211","ISSN":"1422-0067","issue":"17","language":"en","license":"http://creativecommons.org/licenses/by/3.0/","note":"number: 17\npublisher: Multidisciplinary Digital Publishing Institute","page":"9211","source":"www.mdpi.com","title":"Elucidating the Functional Roles of Long Non-Coding RNAs in Alzheimer’s Disease","volume":"25","author":[{"family":"Huang","given":"Zhenyu"},{"family":"Chen","given":"Qiufen"},{"family":"Mu","given":"Xuechen"},{"family":"An","given":"Zheng"},{"family":"Xu","given":"Ying"}],"issued":{"date-parts":[["2024",1]]}}}],"schema":"https://github.com/citation-style-language/schema/raw/master/csl-citation.json"} </w:instrText>
      </w:r>
      <w:r w:rsidR="00C456D6" w:rsidRPr="002C2F74">
        <w:rPr>
          <w:rFonts w:cs="Times New Roman"/>
        </w:rPr>
        <w:fldChar w:fldCharType="separate"/>
      </w:r>
      <w:r w:rsidR="005F39C5" w:rsidRPr="005F39C5">
        <w:rPr>
          <w:rFonts w:cs="Times New Roman"/>
        </w:rPr>
        <w:t>[17]</w:t>
      </w:r>
      <w:r w:rsidR="00C456D6" w:rsidRPr="002C2F74">
        <w:rPr>
          <w:rFonts w:cs="Times New Roman"/>
        </w:rPr>
        <w:fldChar w:fldCharType="end"/>
      </w:r>
      <w:r w:rsidR="00E8255F" w:rsidRPr="002C2F74">
        <w:rPr>
          <w:rFonts w:cs="Times New Roman"/>
        </w:rPr>
        <w:t xml:space="preserve"> (Figure S</w:t>
      </w:r>
      <w:r w:rsidR="009F36AE">
        <w:rPr>
          <w:rFonts w:cs="Times New Roman" w:hint="eastAsia"/>
        </w:rPr>
        <w:t>6</w:t>
      </w:r>
      <w:r w:rsidR="00E8255F" w:rsidRPr="002C2F74">
        <w:rPr>
          <w:rFonts w:cs="Times New Roman"/>
        </w:rPr>
        <w:t xml:space="preserve">). </w:t>
      </w:r>
    </w:p>
    <w:p w14:paraId="77F71913" w14:textId="73D4ECF8" w:rsidR="0073792B" w:rsidRPr="002C2F74" w:rsidRDefault="002E0A5B" w:rsidP="0073792B">
      <w:pPr>
        <w:snapToGrid w:val="0"/>
        <w:spacing w:line="276" w:lineRule="auto"/>
        <w:ind w:firstLine="420"/>
        <w:rPr>
          <w:rFonts w:cs="Times New Roman"/>
        </w:rPr>
      </w:pPr>
      <w:r w:rsidRPr="002C2F74">
        <w:rPr>
          <w:rFonts w:cs="Times New Roman"/>
          <w:b/>
          <w:bCs/>
        </w:rPr>
        <w:t>Role</w:t>
      </w:r>
      <w:r w:rsidR="00C25A52">
        <w:rPr>
          <w:rFonts w:cs="Times New Roman"/>
          <w:b/>
          <w:bCs/>
        </w:rPr>
        <w:t>s</w:t>
      </w:r>
      <w:r w:rsidRPr="002C2F74">
        <w:rPr>
          <w:rFonts w:cs="Times New Roman"/>
          <w:b/>
          <w:bCs/>
        </w:rPr>
        <w:t xml:space="preserve"> </w:t>
      </w:r>
      <w:r w:rsidR="00C25A52">
        <w:rPr>
          <w:rFonts w:cs="Times New Roman"/>
          <w:b/>
          <w:bCs/>
        </w:rPr>
        <w:t>played by</w:t>
      </w:r>
      <w:r w:rsidR="00C25A52" w:rsidRPr="002C2F74">
        <w:rPr>
          <w:rFonts w:cs="Times New Roman"/>
          <w:b/>
          <w:bCs/>
        </w:rPr>
        <w:t xml:space="preserve"> </w:t>
      </w:r>
      <w:proofErr w:type="spellStart"/>
      <w:r w:rsidRPr="002C2F74">
        <w:rPr>
          <w:rFonts w:cs="Times New Roman"/>
          <w:b/>
          <w:bCs/>
        </w:rPr>
        <w:t>lncRNAs</w:t>
      </w:r>
      <w:proofErr w:type="spellEnd"/>
      <w:r w:rsidRPr="002C2F74">
        <w:rPr>
          <w:rFonts w:cs="Times New Roman"/>
          <w:b/>
          <w:bCs/>
        </w:rPr>
        <w:t xml:space="preserve"> in pH </w:t>
      </w:r>
      <w:r w:rsidRPr="002C2F74">
        <w:rPr>
          <w:rFonts w:cs="Times New Roman" w:hint="eastAsia"/>
          <w:b/>
          <w:bCs/>
        </w:rPr>
        <w:t>r</w:t>
      </w:r>
      <w:r w:rsidRPr="002C2F74">
        <w:rPr>
          <w:rFonts w:cs="Times New Roman"/>
          <w:b/>
          <w:bCs/>
        </w:rPr>
        <w:t>egulation</w:t>
      </w:r>
      <w:r w:rsidRPr="002C2F74">
        <w:rPr>
          <w:rFonts w:cs="Times New Roman" w:hint="eastAsia"/>
          <w:b/>
          <w:bCs/>
        </w:rPr>
        <w:t>:</w:t>
      </w:r>
      <w:r w:rsidRPr="002C2F74">
        <w:rPr>
          <w:rFonts w:cs="Times New Roman" w:hint="eastAsia"/>
        </w:rPr>
        <w:t xml:space="preserve"> </w:t>
      </w:r>
      <w:r w:rsidR="0073792B" w:rsidRPr="002C2F74">
        <w:rPr>
          <w:rFonts w:cs="Times New Roman"/>
        </w:rPr>
        <w:t xml:space="preserve">Our analysis of </w:t>
      </w:r>
      <w:proofErr w:type="spellStart"/>
      <w:r w:rsidR="0073792B" w:rsidRPr="002C2F74">
        <w:rPr>
          <w:rFonts w:cs="Times New Roman"/>
        </w:rPr>
        <w:t>lncRNAs</w:t>
      </w:r>
      <w:proofErr w:type="spellEnd"/>
      <w:r w:rsidR="0073792B" w:rsidRPr="002C2F74">
        <w:rPr>
          <w:rFonts w:cs="Times New Roman"/>
        </w:rPr>
        <w:t xml:space="preserve"> revealed their critical </w:t>
      </w:r>
      <w:r w:rsidR="00310DD5">
        <w:rPr>
          <w:rFonts w:cs="Times New Roman"/>
        </w:rPr>
        <w:t>roles</w:t>
      </w:r>
      <w:r w:rsidR="00310DD5" w:rsidRPr="002C2F74">
        <w:rPr>
          <w:rFonts w:cs="Times New Roman"/>
        </w:rPr>
        <w:t xml:space="preserve"> </w:t>
      </w:r>
      <w:r w:rsidR="0073792B" w:rsidRPr="002C2F74">
        <w:rPr>
          <w:rFonts w:cs="Times New Roman"/>
        </w:rPr>
        <w:t xml:space="preserve">in </w:t>
      </w:r>
      <w:r w:rsidR="00310DD5">
        <w:rPr>
          <w:rFonts w:cs="Times New Roman"/>
        </w:rPr>
        <w:t xml:space="preserve">keeping the intracellular </w:t>
      </w:r>
      <w:r w:rsidR="0073792B" w:rsidRPr="002C2F74">
        <w:rPr>
          <w:rFonts w:cs="Times New Roman"/>
        </w:rPr>
        <w:t xml:space="preserve">pH </w:t>
      </w:r>
      <w:r w:rsidR="00310DD5">
        <w:rPr>
          <w:rFonts w:cs="Times New Roman"/>
        </w:rPr>
        <w:t>stable</w:t>
      </w:r>
      <w:r w:rsidR="0073792B" w:rsidRPr="002C2F74">
        <w:rPr>
          <w:rFonts w:cs="Times New Roman"/>
        </w:rPr>
        <w:t>,</w:t>
      </w:r>
      <w:r w:rsidR="00310DD5">
        <w:rPr>
          <w:rFonts w:cs="Times New Roman"/>
        </w:rPr>
        <w:t xml:space="preserve"> namely</w:t>
      </w:r>
      <w:r w:rsidR="0073792B" w:rsidRPr="002C2F74">
        <w:rPr>
          <w:rFonts w:cs="Times New Roman"/>
        </w:rPr>
        <w:t xml:space="preserve"> in response to intracellular alkalosis and extracellular acidosis. Compared to previous datasets, our </w:t>
      </w:r>
      <w:r w:rsidR="00313577">
        <w:rPr>
          <w:rFonts w:cs="Times New Roman"/>
        </w:rPr>
        <w:t>assembled transcripts consist of</w:t>
      </w:r>
      <w:r w:rsidR="00313577" w:rsidRPr="002C2F74">
        <w:rPr>
          <w:rFonts w:cs="Times New Roman"/>
        </w:rPr>
        <w:t xml:space="preserve"> </w:t>
      </w:r>
      <w:r w:rsidR="009E7503" w:rsidRPr="002C2F74">
        <w:rPr>
          <w:rFonts w:cs="Times New Roman" w:hint="eastAsia"/>
        </w:rPr>
        <w:t>496</w:t>
      </w:r>
      <w:r w:rsidR="0073792B" w:rsidRPr="002C2F74">
        <w:rPr>
          <w:rFonts w:cs="Times New Roman"/>
        </w:rPr>
        <w:t xml:space="preserve"> unique </w:t>
      </w:r>
      <w:proofErr w:type="spellStart"/>
      <w:r w:rsidR="0073792B" w:rsidRPr="002C2F74">
        <w:rPr>
          <w:rFonts w:cs="Times New Roman"/>
        </w:rPr>
        <w:t>lncRNAs</w:t>
      </w:r>
      <w:proofErr w:type="spellEnd"/>
      <w:r w:rsidR="0073792B" w:rsidRPr="002C2F74">
        <w:rPr>
          <w:rFonts w:cs="Times New Roman"/>
        </w:rPr>
        <w:t xml:space="preserve"> that are directly involved in pH regulation pathways, a significant increase from the </w:t>
      </w:r>
      <w:r w:rsidR="009E7503" w:rsidRPr="002C2F74">
        <w:rPr>
          <w:rFonts w:cs="Times New Roman" w:hint="eastAsia"/>
        </w:rPr>
        <w:t>119</w:t>
      </w:r>
      <w:r w:rsidR="0073792B" w:rsidRPr="002C2F74">
        <w:rPr>
          <w:rFonts w:cs="Times New Roman"/>
        </w:rPr>
        <w:t xml:space="preserve"> </w:t>
      </w:r>
      <w:proofErr w:type="spellStart"/>
      <w:r w:rsidR="0073792B" w:rsidRPr="002C2F74">
        <w:rPr>
          <w:rFonts w:cs="Times New Roman"/>
        </w:rPr>
        <w:t>lncRNAs</w:t>
      </w:r>
      <w:proofErr w:type="spellEnd"/>
      <w:r w:rsidR="0073792B" w:rsidRPr="002C2F74">
        <w:rPr>
          <w:rFonts w:cs="Times New Roman"/>
        </w:rPr>
        <w:t xml:space="preserve"> documented in traditional datasets (Table 3). These transcripts were found to mediate key cellular processes related to pH balance, as outlined below</w:t>
      </w:r>
      <w:r w:rsidR="00B85853" w:rsidRPr="002C2F74">
        <w:rPr>
          <w:rFonts w:cs="Times New Roman" w:hint="eastAsia"/>
        </w:rPr>
        <w:t>:</w:t>
      </w:r>
    </w:p>
    <w:p w14:paraId="0481B8DF" w14:textId="56F9826C" w:rsidR="00246A5D" w:rsidRPr="00246A5D" w:rsidRDefault="0073792B" w:rsidP="0082715B">
      <w:pPr>
        <w:pStyle w:val="a9"/>
        <w:numPr>
          <w:ilvl w:val="0"/>
          <w:numId w:val="21"/>
        </w:numPr>
        <w:snapToGrid w:val="0"/>
        <w:spacing w:line="276" w:lineRule="auto"/>
        <w:ind w:left="0" w:firstLine="420"/>
        <w:rPr>
          <w:rFonts w:cs="Times New Roman"/>
        </w:rPr>
      </w:pPr>
      <w:r w:rsidRPr="00246A5D">
        <w:rPr>
          <w:rFonts w:cs="Times New Roman"/>
        </w:rPr>
        <w:t xml:space="preserve">Intracellular </w:t>
      </w:r>
      <w:r w:rsidR="00313577" w:rsidRPr="00246A5D">
        <w:rPr>
          <w:rFonts w:cs="Times New Roman"/>
        </w:rPr>
        <w:t>a</w:t>
      </w:r>
      <w:r w:rsidRPr="00246A5D">
        <w:rPr>
          <w:rFonts w:cs="Times New Roman"/>
        </w:rPr>
        <w:t>lkalosis:</w:t>
      </w:r>
      <w:r w:rsidRPr="00246A5D">
        <w:rPr>
          <w:rFonts w:cs="Times New Roman" w:hint="eastAsia"/>
        </w:rPr>
        <w:t xml:space="preserve"> </w:t>
      </w:r>
      <w:proofErr w:type="spellStart"/>
      <w:r w:rsidRPr="00246A5D">
        <w:rPr>
          <w:rFonts w:cs="Times New Roman"/>
        </w:rPr>
        <w:t>LncRNAs</w:t>
      </w:r>
      <w:proofErr w:type="spellEnd"/>
      <w:r w:rsidRPr="00246A5D">
        <w:rPr>
          <w:rFonts w:cs="Times New Roman"/>
        </w:rPr>
        <w:t xml:space="preserve"> in our dataset promote mitochondrial iron accumulation, which in turn </w:t>
      </w:r>
      <w:r w:rsidR="00200E39" w:rsidRPr="00246A5D">
        <w:rPr>
          <w:rFonts w:cs="Times New Roman"/>
        </w:rPr>
        <w:t>produces</w:t>
      </w:r>
      <w:r w:rsidRPr="00246A5D">
        <w:rPr>
          <w:rFonts w:cs="Times New Roman"/>
        </w:rPr>
        <w:t xml:space="preserve"> hydroxide </w:t>
      </w:r>
      <w:r w:rsidR="00200E39" w:rsidRPr="00246A5D">
        <w:rPr>
          <w:rFonts w:cs="Times New Roman"/>
        </w:rPr>
        <w:t>(</w:t>
      </w:r>
      <m:oMath>
        <m:sSup>
          <m:sSupPr>
            <m:ctrlPr>
              <w:rPr>
                <w:rFonts w:ascii="Cambria Math" w:hAnsi="Cambria Math" w:cs="Times New Roman"/>
                <w:iCs/>
              </w:rPr>
            </m:ctrlPr>
          </m:sSupPr>
          <m:e>
            <m:r>
              <m:rPr>
                <m:sty m:val="p"/>
              </m:rPr>
              <w:rPr>
                <w:rFonts w:ascii="Cambria Math" w:hAnsi="Cambria Math" w:cs="Times New Roman"/>
              </w:rPr>
              <m:t>OH</m:t>
            </m:r>
          </m:e>
          <m:sup>
            <m:r>
              <m:rPr>
                <m:sty m:val="p"/>
              </m:rPr>
              <w:rPr>
                <w:rFonts w:ascii="Cambria Math" w:hAnsi="Cambria Math" w:cs="Times New Roman"/>
              </w:rPr>
              <m:t>-</m:t>
            </m:r>
          </m:sup>
        </m:sSup>
      </m:oMath>
      <w:r w:rsidR="00200E39" w:rsidRPr="00246A5D">
        <w:rPr>
          <w:rFonts w:cs="Times New Roman"/>
        </w:rPr>
        <w:t xml:space="preserve">) </w:t>
      </w:r>
      <w:r w:rsidRPr="00246A5D">
        <w:rPr>
          <w:rFonts w:cs="Times New Roman"/>
        </w:rPr>
        <w:t xml:space="preserve">and </w:t>
      </w:r>
      <w:r w:rsidR="00200E39" w:rsidRPr="00246A5D">
        <w:rPr>
          <w:rFonts w:cs="Times New Roman"/>
        </w:rPr>
        <w:t>hydroxyl radical (</w:t>
      </w:r>
      <m:oMath>
        <m:r>
          <m:rPr>
            <m:sty m:val="p"/>
          </m:rPr>
          <w:rPr>
            <w:rFonts w:ascii="Cambria Math" w:hAnsi="Cambria Math" w:cs="Times New Roman"/>
          </w:rPr>
          <m:t>·OH</m:t>
        </m:r>
      </m:oMath>
      <w:r w:rsidR="00200E39" w:rsidRPr="00246A5D" w:rsidDel="00200E39">
        <w:rPr>
          <w:rFonts w:cs="Times New Roman"/>
        </w:rPr>
        <w:t xml:space="preserve"> </w:t>
      </w:r>
      <w:r w:rsidR="00200E39" w:rsidRPr="00246A5D">
        <w:rPr>
          <w:rFonts w:cs="Times New Roman"/>
        </w:rPr>
        <w:t>)</w:t>
      </w:r>
      <w:r w:rsidRPr="00246A5D">
        <w:rPr>
          <w:rFonts w:cs="Times New Roman"/>
        </w:rPr>
        <w:t xml:space="preserve"> through Fenton reaction</w:t>
      </w:r>
      <w:r w:rsidR="00200E39" w:rsidRPr="00246A5D">
        <w:rPr>
          <w:rFonts w:cs="Times New Roman"/>
        </w:rPr>
        <w:t>s</w:t>
      </w:r>
      <w:r w:rsidRPr="00246A5D">
        <w:rPr>
          <w:rFonts w:cs="Times New Roman"/>
        </w:rPr>
        <w:t xml:space="preserve"> (Figure S</w:t>
      </w:r>
      <w:r w:rsidR="000D41A3">
        <w:rPr>
          <w:rFonts w:cs="Times New Roman" w:hint="eastAsia"/>
        </w:rPr>
        <w:t>7</w:t>
      </w:r>
      <w:r w:rsidRPr="00246A5D">
        <w:rPr>
          <w:rFonts w:cs="Times New Roman"/>
        </w:rPr>
        <w:t>)</w:t>
      </w:r>
      <w:r w:rsidR="002B4A67">
        <w:rPr>
          <w:rFonts w:cs="Times New Roman" w:hint="eastAsia"/>
        </w:rPr>
        <w:t>,</w:t>
      </w:r>
      <w:r w:rsidR="002B4A67" w:rsidRPr="002B4A67">
        <w:t xml:space="preserve"> </w:t>
      </w:r>
      <w:r w:rsidR="001562F9" w:rsidRPr="001562F9">
        <w:rPr>
          <w:rFonts w:cs="Times New Roman"/>
        </w:rPr>
        <w:t>causing intracellular alkalization. Specifical</w:t>
      </w:r>
      <w:r w:rsidR="001562F9" w:rsidRPr="008427F0">
        <w:rPr>
          <w:rFonts w:cs="Times New Roman"/>
        </w:rPr>
        <w:t xml:space="preserve">ly, </w:t>
      </w:r>
      <w:r w:rsidR="008427F0" w:rsidRPr="008427F0">
        <w:rPr>
          <w:rFonts w:cs="Times New Roman" w:hint="eastAsia"/>
        </w:rPr>
        <w:t>2</w:t>
      </w:r>
      <w:r w:rsidR="00321466">
        <w:rPr>
          <w:rFonts w:cs="Times New Roman"/>
        </w:rPr>
        <w:t>,</w:t>
      </w:r>
      <w:r w:rsidR="008427F0" w:rsidRPr="008427F0">
        <w:rPr>
          <w:rFonts w:cs="Times New Roman" w:hint="eastAsia"/>
        </w:rPr>
        <w:t xml:space="preserve">471 </w:t>
      </w:r>
      <w:proofErr w:type="spellStart"/>
      <w:r w:rsidR="001562F9" w:rsidRPr="008427F0">
        <w:rPr>
          <w:rFonts w:cs="Times New Roman"/>
        </w:rPr>
        <w:t>lncRNAs</w:t>
      </w:r>
      <w:proofErr w:type="spellEnd"/>
      <w:r w:rsidR="001562F9" w:rsidRPr="008427F0">
        <w:rPr>
          <w:rFonts w:cs="Times New Roman"/>
        </w:rPr>
        <w:t xml:space="preserve"> are in</w:t>
      </w:r>
      <w:r w:rsidR="001562F9" w:rsidRPr="001562F9">
        <w:rPr>
          <w:rFonts w:cs="Times New Roman"/>
        </w:rPr>
        <w:t>volved in regulating Fenton reactions.</w:t>
      </w:r>
      <w:r w:rsidR="00246A5D">
        <w:rPr>
          <w:rFonts w:cs="Times New Roman"/>
        </w:rPr>
        <w:t xml:space="preserve"> On </w:t>
      </w:r>
      <w:r w:rsidR="00321466">
        <w:rPr>
          <w:rFonts w:cs="Times New Roman"/>
        </w:rPr>
        <w:t xml:space="preserve">the </w:t>
      </w:r>
      <w:r w:rsidR="00246A5D">
        <w:rPr>
          <w:rFonts w:cs="Times New Roman"/>
        </w:rPr>
        <w:t xml:space="preserve">other side, </w:t>
      </w:r>
      <w:proofErr w:type="spellStart"/>
      <w:r w:rsidR="00246A5D">
        <w:rPr>
          <w:rFonts w:cs="Times New Roman"/>
        </w:rPr>
        <w:t>lncRNAs</w:t>
      </w:r>
      <w:proofErr w:type="spellEnd"/>
      <w:r w:rsidR="00246A5D">
        <w:rPr>
          <w:rFonts w:cs="Times New Roman"/>
        </w:rPr>
        <w:t xml:space="preserve"> </w:t>
      </w:r>
      <w:r w:rsidR="00321466">
        <w:rPr>
          <w:rFonts w:cs="Times New Roman"/>
        </w:rPr>
        <w:t xml:space="preserve">are </w:t>
      </w:r>
      <w:r w:rsidR="00246A5D">
        <w:rPr>
          <w:rFonts w:cs="Times New Roman"/>
        </w:rPr>
        <w:t xml:space="preserve">also involved in actions counterbalancing the alkalization via activating acidification process. For example, </w:t>
      </w:r>
      <w:proofErr w:type="spellStart"/>
      <w:r w:rsidR="00246A5D">
        <w:rPr>
          <w:rFonts w:cs="Times New Roman"/>
        </w:rPr>
        <w:t>lncRNAs</w:t>
      </w:r>
      <w:proofErr w:type="spellEnd"/>
      <w:r w:rsidR="00246A5D">
        <w:rPr>
          <w:rFonts w:cs="Times New Roman"/>
        </w:rPr>
        <w:t xml:space="preserve"> </w:t>
      </w:r>
      <w:r w:rsidR="00133027" w:rsidRPr="00246A5D">
        <w:rPr>
          <w:rFonts w:cs="Times New Roman"/>
        </w:rPr>
        <w:t xml:space="preserve">MSTRG.44295.1 and MSTRG.14265.27 contribute to the activation of acid-loading transporters that lower </w:t>
      </w:r>
      <w:r w:rsidR="00246A5D">
        <w:rPr>
          <w:rFonts w:cs="Times New Roman"/>
        </w:rPr>
        <w:t xml:space="preserve">the </w:t>
      </w:r>
      <w:r w:rsidR="00133027" w:rsidRPr="00246A5D">
        <w:rPr>
          <w:rFonts w:cs="Times New Roman"/>
        </w:rPr>
        <w:t xml:space="preserve">intracellular </w:t>
      </w:r>
      <w:proofErr w:type="spellStart"/>
      <w:r w:rsidR="00133027" w:rsidRPr="00246A5D">
        <w:rPr>
          <w:rFonts w:cs="Times New Roman"/>
        </w:rPr>
        <w:t>pH.</w:t>
      </w:r>
      <w:proofErr w:type="spellEnd"/>
      <w:r w:rsidR="00133027" w:rsidRPr="00246A5D">
        <w:rPr>
          <w:rFonts w:cs="Times New Roman"/>
        </w:rPr>
        <w:t xml:space="preserve"> </w:t>
      </w:r>
      <w:r w:rsidR="00246A5D">
        <w:rPr>
          <w:rFonts w:cs="Times New Roman"/>
        </w:rPr>
        <w:t xml:space="preserve">Overall, our transcripts cover 646 </w:t>
      </w:r>
      <w:proofErr w:type="spellStart"/>
      <w:r w:rsidR="00246A5D">
        <w:rPr>
          <w:rFonts w:cs="Times New Roman"/>
        </w:rPr>
        <w:t>lncRNAs</w:t>
      </w:r>
      <w:proofErr w:type="spellEnd"/>
      <w:r w:rsidR="00246A5D">
        <w:rPr>
          <w:rFonts w:cs="Times New Roman"/>
        </w:rPr>
        <w:t xml:space="preserve"> vs. </w:t>
      </w:r>
      <w:r w:rsidR="00133027" w:rsidRPr="00246A5D">
        <w:rPr>
          <w:rFonts w:cs="Times New Roman"/>
        </w:rPr>
        <w:t xml:space="preserve">309 </w:t>
      </w:r>
      <w:proofErr w:type="spellStart"/>
      <w:r w:rsidR="00246A5D">
        <w:rPr>
          <w:rFonts w:cs="Times New Roman"/>
        </w:rPr>
        <w:t>lncRNA</w:t>
      </w:r>
      <w:r w:rsidR="00246A5D" w:rsidRPr="00246A5D">
        <w:rPr>
          <w:rFonts w:cs="Times New Roman"/>
        </w:rPr>
        <w:t>s</w:t>
      </w:r>
      <w:proofErr w:type="spellEnd"/>
      <w:r w:rsidR="00246A5D" w:rsidRPr="00246A5D">
        <w:rPr>
          <w:rFonts w:cs="Times New Roman"/>
        </w:rPr>
        <w:t xml:space="preserve"> </w:t>
      </w:r>
      <w:r w:rsidR="00246A5D">
        <w:rPr>
          <w:rFonts w:cs="Times New Roman"/>
        </w:rPr>
        <w:t>in the existing transcripts relevant to intracellular pH</w:t>
      </w:r>
      <w:r w:rsidR="00133027" w:rsidRPr="00246A5D">
        <w:rPr>
          <w:rFonts w:cs="Times New Roman"/>
        </w:rPr>
        <w:t xml:space="preserve"> (Table 3). </w:t>
      </w:r>
    </w:p>
    <w:p w14:paraId="5A6E6C82" w14:textId="24B44C31" w:rsidR="00133027" w:rsidRPr="00246A5D" w:rsidRDefault="0073792B" w:rsidP="0082715B">
      <w:pPr>
        <w:pStyle w:val="a9"/>
        <w:numPr>
          <w:ilvl w:val="0"/>
          <w:numId w:val="21"/>
        </w:numPr>
        <w:snapToGrid w:val="0"/>
        <w:spacing w:line="276" w:lineRule="auto"/>
        <w:ind w:left="0" w:firstLine="420"/>
        <w:rPr>
          <w:rFonts w:cs="Times New Roman"/>
        </w:rPr>
      </w:pPr>
      <w:r w:rsidRPr="00246A5D">
        <w:rPr>
          <w:rFonts w:cs="Times New Roman"/>
        </w:rPr>
        <w:t xml:space="preserve">Extracellular </w:t>
      </w:r>
      <w:r w:rsidR="00313577" w:rsidRPr="00246A5D">
        <w:rPr>
          <w:rFonts w:cs="Times New Roman"/>
        </w:rPr>
        <w:t>a</w:t>
      </w:r>
      <w:r w:rsidRPr="00246A5D">
        <w:rPr>
          <w:rFonts w:cs="Times New Roman"/>
        </w:rPr>
        <w:t xml:space="preserve">cidosis: </w:t>
      </w:r>
      <w:r w:rsidR="00246A5D">
        <w:rPr>
          <w:rFonts w:cs="Times New Roman"/>
        </w:rPr>
        <w:t>O</w:t>
      </w:r>
      <w:r w:rsidR="00750534" w:rsidRPr="00246A5D">
        <w:rPr>
          <w:rFonts w:cs="Times New Roman"/>
        </w:rPr>
        <w:t>ur</w:t>
      </w:r>
      <w:r w:rsidR="00133027" w:rsidRPr="00246A5D">
        <w:rPr>
          <w:rFonts w:cs="Times New Roman"/>
        </w:rPr>
        <w:t xml:space="preserve"> </w:t>
      </w:r>
      <w:r w:rsidR="00246A5D">
        <w:rPr>
          <w:rFonts w:cs="Times New Roman"/>
        </w:rPr>
        <w:t>transcripts cover</w:t>
      </w:r>
      <w:r w:rsidR="00133027" w:rsidRPr="00246A5D">
        <w:rPr>
          <w:rFonts w:cs="Times New Roman"/>
        </w:rPr>
        <w:t xml:space="preserve"> 812 </w:t>
      </w:r>
      <w:r w:rsidR="00246A5D">
        <w:rPr>
          <w:rFonts w:cs="Times New Roman"/>
        </w:rPr>
        <w:t xml:space="preserve">vs 229 </w:t>
      </w:r>
      <w:proofErr w:type="spellStart"/>
      <w:r w:rsidR="00246A5D">
        <w:rPr>
          <w:rFonts w:cs="Times New Roman"/>
        </w:rPr>
        <w:t>lncRNAs</w:t>
      </w:r>
      <w:proofErr w:type="spellEnd"/>
      <w:r w:rsidR="00246A5D">
        <w:rPr>
          <w:rFonts w:cs="Times New Roman"/>
        </w:rPr>
        <w:t xml:space="preserve"> by the existing transcripts related to </w:t>
      </w:r>
      <w:r w:rsidR="00133027" w:rsidRPr="00246A5D">
        <w:rPr>
          <w:rFonts w:cs="Times New Roman"/>
        </w:rPr>
        <w:t>regulat</w:t>
      </w:r>
      <w:r w:rsidR="00246A5D">
        <w:rPr>
          <w:rFonts w:cs="Times New Roman"/>
        </w:rPr>
        <w:t>ing</w:t>
      </w:r>
      <w:r w:rsidR="00133027" w:rsidRPr="00246A5D">
        <w:rPr>
          <w:rFonts w:cs="Times New Roman"/>
        </w:rPr>
        <w:t xml:space="preserve"> bicarbonate (HCO3</w:t>
      </w:r>
      <w:r w:rsidR="00133027" w:rsidRPr="00246A5D">
        <w:rPr>
          <w:rFonts w:cs="Times New Roman"/>
          <w:vertAlign w:val="superscript"/>
        </w:rPr>
        <w:t>-</w:t>
      </w:r>
      <w:r w:rsidR="00133027" w:rsidRPr="00246A5D">
        <w:rPr>
          <w:rFonts w:cs="Times New Roman"/>
        </w:rPr>
        <w:t xml:space="preserve">) transporters, which help </w:t>
      </w:r>
      <w:r w:rsidR="00246A5D">
        <w:rPr>
          <w:rFonts w:cs="Times New Roman"/>
        </w:rPr>
        <w:t xml:space="preserve">to slow down the process of </w:t>
      </w:r>
      <w:r w:rsidR="00133027" w:rsidRPr="00246A5D">
        <w:rPr>
          <w:rFonts w:cs="Times New Roman"/>
        </w:rPr>
        <w:t>extracellular acidosis</w:t>
      </w:r>
      <w:r w:rsidR="00246A5D">
        <w:rPr>
          <w:rFonts w:cs="Times New Roman"/>
        </w:rPr>
        <w:t xml:space="preserve"> </w:t>
      </w:r>
      <w:r w:rsidR="00133027" w:rsidRPr="00246A5D">
        <w:rPr>
          <w:rFonts w:cs="Times New Roman"/>
        </w:rPr>
        <w:t xml:space="preserve">(Table 3). </w:t>
      </w:r>
    </w:p>
    <w:p w14:paraId="603B5B75" w14:textId="1F8BDB30" w:rsidR="0073792B" w:rsidRPr="002C2F74" w:rsidRDefault="0082715B" w:rsidP="006854BF">
      <w:pPr>
        <w:snapToGrid w:val="0"/>
        <w:spacing w:line="276" w:lineRule="auto"/>
        <w:ind w:firstLine="420"/>
        <w:rPr>
          <w:rFonts w:cs="Times New Roman"/>
        </w:rPr>
      </w:pPr>
      <w:r w:rsidRPr="0052447F">
        <w:rPr>
          <w:rFonts w:cs="Times New Roman"/>
        </w:rPr>
        <w:t>We also note that</w:t>
      </w:r>
      <w:r w:rsidRPr="0052447F">
        <w:rPr>
          <w:rFonts w:cs="Times New Roman"/>
          <w:b/>
          <w:bCs/>
        </w:rPr>
        <w:t xml:space="preserve"> </w:t>
      </w:r>
      <w:r w:rsidR="00F75B01" w:rsidRPr="0052447F">
        <w:rPr>
          <w:rFonts w:cs="Times New Roman"/>
        </w:rPr>
        <w:t>i</w:t>
      </w:r>
      <w:r w:rsidR="0073792B" w:rsidRPr="0052447F">
        <w:rPr>
          <w:rFonts w:cs="Times New Roman"/>
        </w:rPr>
        <w:t xml:space="preserve">n the early stage of AD, </w:t>
      </w:r>
      <w:proofErr w:type="spellStart"/>
      <w:r w:rsidR="0073792B" w:rsidRPr="0052447F">
        <w:rPr>
          <w:rFonts w:cs="Times New Roman"/>
        </w:rPr>
        <w:t>lncRNAs</w:t>
      </w:r>
      <w:proofErr w:type="spellEnd"/>
      <w:r w:rsidR="0073792B" w:rsidRPr="0052447F">
        <w:rPr>
          <w:rFonts w:cs="Times New Roman"/>
        </w:rPr>
        <w:t xml:space="preserve"> </w:t>
      </w:r>
      <w:r w:rsidR="006854BF" w:rsidRPr="0052447F">
        <w:rPr>
          <w:rFonts w:cs="Times New Roman"/>
        </w:rPr>
        <w:t xml:space="preserve">are involved in </w:t>
      </w:r>
      <w:r w:rsidR="0073792B" w:rsidRPr="0052447F">
        <w:rPr>
          <w:rFonts w:cs="Times New Roman"/>
        </w:rPr>
        <w:t>promot</w:t>
      </w:r>
      <w:r w:rsidR="006854BF" w:rsidRPr="0052447F">
        <w:rPr>
          <w:rFonts w:cs="Times New Roman"/>
        </w:rPr>
        <w:t>ing the formation of</w:t>
      </w:r>
      <w:r w:rsidR="0073792B" w:rsidRPr="0052447F">
        <w:rPr>
          <w:rFonts w:cs="Times New Roman"/>
        </w:rPr>
        <w:t xml:space="preserve"> amyloid plaque</w:t>
      </w:r>
      <w:r w:rsidR="006854BF" w:rsidRPr="0052447F">
        <w:rPr>
          <w:rFonts w:cs="Times New Roman"/>
        </w:rPr>
        <w:t>s</w:t>
      </w:r>
      <w:r w:rsidR="0073792B" w:rsidRPr="0052447F">
        <w:rPr>
          <w:rFonts w:cs="Times New Roman"/>
        </w:rPr>
        <w:t xml:space="preserve"> and </w:t>
      </w:r>
      <w:r w:rsidRPr="0052447F">
        <w:rPr>
          <w:rFonts w:cs="Times New Roman"/>
        </w:rPr>
        <w:t>T</w:t>
      </w:r>
      <w:r w:rsidR="0073792B" w:rsidRPr="0052447F">
        <w:rPr>
          <w:rFonts w:cs="Times New Roman"/>
        </w:rPr>
        <w:t xml:space="preserve">au protein hyperphosphorylation. </w:t>
      </w:r>
      <w:r w:rsidR="006854BF" w:rsidRPr="0052447F">
        <w:rPr>
          <w:rFonts w:cs="Times New Roman"/>
        </w:rPr>
        <w:t>Our previous work has discovered that the formation of a</w:t>
      </w:r>
      <w:r w:rsidR="0073792B" w:rsidRPr="0052447F">
        <w:rPr>
          <w:rFonts w:cs="Times New Roman"/>
        </w:rPr>
        <w:t xml:space="preserve">myloid plaques </w:t>
      </w:r>
      <w:r w:rsidR="006854BF" w:rsidRPr="0052447F">
        <w:rPr>
          <w:rFonts w:cs="Times New Roman"/>
        </w:rPr>
        <w:t xml:space="preserve">slows down the process of extracellular acidosis since the folded structure of amyloid plaques tend to keep their alkaline sidechains pointing outwards while having their acidic sidechains folded inside the structure </w:t>
      </w:r>
      <w:r w:rsidR="00A90B47" w:rsidRPr="0052447F">
        <w:rPr>
          <w:rFonts w:eastAsiaTheme="minorEastAsia" w:cs="Times New Roman"/>
        </w:rPr>
        <w:fldChar w:fldCharType="begin"/>
      </w:r>
      <w:r w:rsidR="00A90B47" w:rsidRPr="0052447F">
        <w:rPr>
          <w:rFonts w:eastAsiaTheme="minorEastAsia" w:cs="Times New Roman"/>
        </w:rPr>
        <w:instrText xml:space="preserve"> ADDIN ZOTERO_ITEM CSL_CITATION {"citationID":"26ShutYO","properties":{"formattedCitation":"[16], [17]","plainCitation":"[16], [17]","noteIndex":0},"citationItems":[{"id":6519,"uris":["http://zotero.org/users/5158171/items/C2YZFAUF"],"itemData":{"id":6519,"type":"chapter","abstract":"Alzheimer’s disease (AD) is one of the most devastating and complex diseases. Currently, over 50 million patients are suffering from the disease worldwide, more women than men. Dementia is the key early symptom, which gradually progresses to the loss of major cognitive capabilities. The disease may last from a few to over 20 years starting from its first diagnosis. A range of molecular and cellular signatures of AD have been identified and some intensively studied in the past three decades, including Aβplaques, Tau fibrils, increased firing frequencies along with decreased firing amplitudes by neurons, intracellular alkalization, extracellular acidification, numerous altered metabolisms, and massive neuronal death. It has been well established that massive neuronal death is responsible for the reduced cognitive capabilities but unfortunately, its causes and key molecular mechanisms remain elusive. As of now, no medicine is available that can slowdown the disease progression. We have recently conducted comparative computational analyses of the transcriptomic data of over 339 AD tissues at both early and advanced stages versus those of 189 region-matched normal controls, all retrieved from public databases; and discovered that the key phenotypes of AD, including all the above, can be well explained in terms of (a) abnormal changes in both intracellular and extracellular pH in the AD tissue cells, and (b) a few conserved reprogrammed metabolisms induced in response to such changes for maintaining the pH levels within viable ranges. Our study, for the first time, presents a mechanistic model for AD development from the early onset to the advanced stage, which is consistent with the transcriptomic data of all the AD tissues under study as well as the phenotypes of AD outlined above and reported in the literature.","container-title":"Introduction to Condensed Matter Chemistry","ISBN":"978-0-443-16140-7","note":"DOI: 10.1016/B978-0-443-16140-7.00008-0","page":"379-405","publisher":"Elsevier","source":"ScienceDirect","title":"Chapter 14 - Understanding Alzheimer’s disease at the chemistry level","URL":"https://www.sciencedirect.com/science/article/pii/B9780443161407000080","author":[{"family":"Xu","given":"Ying"},{"family":"Huang","given":"Zhenyu"},{"family":"Mu","given":"Xuechen"}],"editor":[{"family":"Xu","given":"Ruren"},{"family":"Yu","given":"Jihong"},{"family":"Yan","given":"Wenfu"}],"accessed":{"date-parts":[["2024",6,29]]},"issued":{"date-parts":[["2024",1,1]]}}},{"id":6833,"uris":["http://zotero.org/users/5158171/items/G97J6IRF"],"itemData":{"id":6833,"type":"article-journal","abstract":"Alzheimer’s disease (AD) is a multifaceted neurodegenerative disorder characterized by cognitive decline and neuronal loss, representing a most challenging health issue. We present a computational analysis of transcriptomic data of AD tissues vs. healthy controls, focused on the elucidation of functional roles played by long non-coding RNAs (lncRNAs) throughout the AD progression. We first assembled our own lncRNA transcripts from the raw RNA-Seq data generated from 527 samples of the dorsolateral prefrontal cortex, resulting in the identification of 31,574 novel lncRNA genes. Based on co-expression analyses between mRNAs and lncRNAs, a co-expression network was constructed. Maximal subnetworks with dense connections were identified as functional clusters. Pathway enrichment analyses were conducted over mRNAs and lncRNAs in each cluster, which served as the basis for the inference of functional roles played by lncRNAs involved in each of the key steps in an AD development model that we have previously built based on transcriptomic data of protein-encoding genes. Detailed information is presented about the functional roles of lncRNAs in activities related to stress response, reprogrammed metabolism, cell polarity, and development. Our analyses also revealed that lncRNAs have the discerning power to distinguish between AD samples of each stage and healthy controls. This study represents the first of its kind.","container-title":"International Journal of Molecular Sciences","DOI":"10.3390/ijms25179211","ISSN":"1422-0067","issue":"17","language":"en","license":"http://creativecommons.org/licenses/by/3.0/","note":"number: 17\npublisher: Multidisciplinary Digital Publishing Institute","page":"9211","source":"www.mdpi.com","title":"Elucidating the Functional Roles of Long Non-Coding RNAs in Alzheimer’s Disease","volume":"25","author":[{"family":"Huang","given":"Zhenyu"},{"family":"Chen","given":"Qiufen"},{"family":"Mu","given":"Xuechen"},{"family":"An","given":"Zheng"},{"family":"Xu","given":"Ying"}],"issued":{"date-parts":[["2024",1]]}}}],"schema":"https://github.com/citation-style-language/schema/raw/master/csl-citation.json"} </w:instrText>
      </w:r>
      <w:r w:rsidR="00A90B47" w:rsidRPr="0052447F">
        <w:rPr>
          <w:rFonts w:eastAsiaTheme="minorEastAsia" w:cs="Times New Roman"/>
        </w:rPr>
        <w:fldChar w:fldCharType="separate"/>
      </w:r>
      <w:r w:rsidR="00A90B47" w:rsidRPr="0052447F">
        <w:rPr>
          <w:rFonts w:cs="Times New Roman"/>
        </w:rPr>
        <w:t>[16,17]</w:t>
      </w:r>
      <w:r w:rsidR="00A90B47" w:rsidRPr="0052447F">
        <w:rPr>
          <w:rFonts w:eastAsiaTheme="minorEastAsia" w:cs="Times New Roman"/>
        </w:rPr>
        <w:fldChar w:fldCharType="end"/>
      </w:r>
      <w:r w:rsidR="006854BF" w:rsidRPr="0052447F">
        <w:rPr>
          <w:rFonts w:cs="Times New Roman"/>
        </w:rPr>
        <w:t xml:space="preserve">. Similarly, we have also discovered that </w:t>
      </w:r>
      <w:r w:rsidR="0073792B" w:rsidRPr="0052447F">
        <w:rPr>
          <w:rFonts w:cs="Times New Roman"/>
        </w:rPr>
        <w:t xml:space="preserve">hyperphosphorylation </w:t>
      </w:r>
      <w:r w:rsidR="006854BF" w:rsidRPr="0052447F">
        <w:rPr>
          <w:rFonts w:cs="Times New Roman"/>
        </w:rPr>
        <w:t xml:space="preserve">on Tau proteins </w:t>
      </w:r>
      <w:r w:rsidR="0073792B" w:rsidRPr="0052447F">
        <w:rPr>
          <w:rFonts w:cs="Times New Roman"/>
        </w:rPr>
        <w:t>reduces intracellular alkal</w:t>
      </w:r>
      <w:r w:rsidR="006854BF" w:rsidRPr="0052447F">
        <w:rPr>
          <w:rFonts w:cs="Times New Roman"/>
        </w:rPr>
        <w:t xml:space="preserve">inity since each phosphorylation act releases one net proton </w:t>
      </w:r>
      <w:r w:rsidR="00A90B47" w:rsidRPr="0052447F">
        <w:rPr>
          <w:rFonts w:eastAsiaTheme="minorEastAsia" w:cs="Times New Roman"/>
        </w:rPr>
        <w:fldChar w:fldCharType="begin"/>
      </w:r>
      <w:r w:rsidR="00A90B47" w:rsidRPr="0052447F">
        <w:rPr>
          <w:rFonts w:eastAsiaTheme="minorEastAsia" w:cs="Times New Roman"/>
        </w:rPr>
        <w:instrText xml:space="preserve"> ADDIN ZOTERO_ITEM CSL_CITATION {"citationID":"26ShutYO","properties":{"formattedCitation":"[16], [17]","plainCitation":"[16], [17]","noteIndex":0},"citationItems":[{"id":6519,"uris":["http://zotero.org/users/5158171/items/C2YZFAUF"],"itemData":{"id":6519,"type":"chapter","abstract":"Alzheimer’s disease (AD) is one of the most devastating and complex diseases. Currently, over 50 million patients are suffering from the disease worldwide, more women than men. Dementia is the key early symptom, which gradually progresses to the loss of major cognitive capabilities. The disease may last from a few to over 20 years starting from its first diagnosis. A range of molecular and cellular signatures of AD have been identified and some intensively studied in the past three decades, including Aβplaques, Tau fibrils, increased firing frequencies along with decreased firing amplitudes by neurons, intracellular alkalization, extracellular acidification, numerous altered metabolisms, and massive neuronal death. It has been well established that massive neuronal death is responsible for the reduced cognitive capabilities but unfortunately, its causes and key molecular mechanisms remain elusive. As of now, no medicine is available that can slowdown the disease progression. We have recently conducted comparative computational analyses of the transcriptomic data of over 339 AD tissues at both early and advanced stages versus those of 189 region-matched normal controls, all retrieved from public databases; and discovered that the key phenotypes of AD, including all the above, can be well explained in terms of (a) abnormal changes in both intracellular and extracellular pH in the AD tissue cells, and (b) a few conserved reprogrammed metabolisms induced in response to such changes for maintaining the pH levels within viable ranges. Our study, for the first time, presents a mechanistic model for AD development from the early onset to the advanced stage, which is consistent with the transcriptomic data of all the AD tissues under study as well as the phenotypes of AD outlined above and reported in the literature.","container-title":"Introduction to Condensed Matter Chemistry","ISBN":"978-0-443-16140-7","note":"DOI: 10.1016/B978-0-443-16140-7.00008-0","page":"379-405","publisher":"Elsevier","source":"ScienceDirect","title":"Chapter 14 - Understanding Alzheimer’s disease at the chemistry level","URL":"https://www.sciencedirect.com/science/article/pii/B9780443161407000080","author":[{"family":"Xu","given":"Ying"},{"family":"Huang","given":"Zhenyu"},{"family":"Mu","given":"Xuechen"}],"editor":[{"family":"Xu","given":"Ruren"},{"family":"Yu","given":"Jihong"},{"family":"Yan","given":"Wenfu"}],"accessed":{"date-parts":[["2024",6,29]]},"issued":{"date-parts":[["2024",1,1]]}}},{"id":6833,"uris":["http://zotero.org/users/5158171/items/G97J6IRF"],"itemData":{"id":6833,"type":"article-journal","abstract":"Alzheimer’s disease (AD) is a multifaceted neurodegenerative disorder characterized by cognitive decline and neuronal loss, representing a most challenging health issue. We present a computational analysis of transcriptomic data of AD tissues vs. healthy controls, focused on the elucidation of functional roles played by long non-coding RNAs (lncRNAs) throughout the AD progression. We first assembled our own lncRNA transcripts from the raw RNA-Seq data generated from 527 samples of the dorsolateral prefrontal cortex, resulting in the identification of 31,574 novel lncRNA genes. Based on co-expression analyses between mRNAs and lncRNAs, a co-expression network was constructed. Maximal subnetworks with dense connections were identified as functional clusters. Pathway enrichment analyses were conducted over mRNAs and lncRNAs in each cluster, which served as the basis for the inference of functional roles played by lncRNAs involved in each of the key steps in an AD development model that we have previously built based on transcriptomic data of protein-encoding genes. Detailed information is presented about the functional roles of lncRNAs in activities related to stress response, reprogrammed metabolism, cell polarity, and development. Our analyses also revealed that lncRNAs have the discerning power to distinguish between AD samples of each stage and healthy controls. This study represents the first of its kind.","container-title":"International Journal of Molecular Sciences","DOI":"10.3390/ijms25179211","ISSN":"1422-0067","issue":"17","language":"en","license":"http://creativecommons.org/licenses/by/3.0/","note":"number: 17\npublisher: Multidisciplinary Digital Publishing Institute","page":"9211","source":"www.mdpi.com","title":"Elucidating the Functional Roles of Long Non-Coding RNAs in Alzheimer’s Disease","volume":"25","author":[{"family":"Huang","given":"Zhenyu"},{"family":"Chen","given":"Qiufen"},{"family":"Mu","given":"Xuechen"},{"family":"An","given":"Zheng"},{"family":"Xu","given":"Ying"}],"issued":{"date-parts":[["2024",1]]}}}],"schema":"https://github.com/citation-style-language/schema/raw/master/csl-citation.json"} </w:instrText>
      </w:r>
      <w:r w:rsidR="00A90B47" w:rsidRPr="0052447F">
        <w:rPr>
          <w:rFonts w:eastAsiaTheme="minorEastAsia" w:cs="Times New Roman"/>
        </w:rPr>
        <w:fldChar w:fldCharType="separate"/>
      </w:r>
      <w:r w:rsidR="00A90B47" w:rsidRPr="0052447F">
        <w:rPr>
          <w:rFonts w:cs="Times New Roman"/>
        </w:rPr>
        <w:t>[16, 17]</w:t>
      </w:r>
      <w:r w:rsidR="00A90B47" w:rsidRPr="0052447F">
        <w:rPr>
          <w:rFonts w:eastAsiaTheme="minorEastAsia" w:cs="Times New Roman"/>
        </w:rPr>
        <w:fldChar w:fldCharType="end"/>
      </w:r>
      <w:r w:rsidR="0073792B" w:rsidRPr="0052447F">
        <w:rPr>
          <w:rFonts w:cs="Times New Roman"/>
        </w:rPr>
        <w:t xml:space="preserve">. </w:t>
      </w:r>
      <w:r w:rsidR="006854BF" w:rsidRPr="0052447F">
        <w:rPr>
          <w:rFonts w:cs="Times New Roman"/>
        </w:rPr>
        <w:t>Overall, o</w:t>
      </w:r>
      <w:r w:rsidR="00855CB8" w:rsidRPr="0052447F">
        <w:rPr>
          <w:rFonts w:cs="Times New Roman"/>
        </w:rPr>
        <w:t>ur transcript</w:t>
      </w:r>
      <w:r w:rsidR="006854BF" w:rsidRPr="0052447F">
        <w:rPr>
          <w:rFonts w:cs="Times New Roman"/>
        </w:rPr>
        <w:t xml:space="preserve">s over </w:t>
      </w:r>
      <w:r w:rsidR="00855CB8" w:rsidRPr="0052447F">
        <w:rPr>
          <w:rFonts w:cs="Times New Roman"/>
        </w:rPr>
        <w:t xml:space="preserve">990 </w:t>
      </w:r>
      <w:proofErr w:type="spellStart"/>
      <w:r w:rsidR="00855CB8" w:rsidRPr="0052447F">
        <w:rPr>
          <w:rFonts w:cs="Times New Roman"/>
        </w:rPr>
        <w:t>lncRNAs</w:t>
      </w:r>
      <w:proofErr w:type="spellEnd"/>
      <w:r w:rsidR="00855CB8" w:rsidRPr="0052447F">
        <w:rPr>
          <w:rFonts w:cs="Times New Roman"/>
        </w:rPr>
        <w:t xml:space="preserve"> involved in these </w:t>
      </w:r>
      <w:r w:rsidR="006854BF" w:rsidRPr="0052447F">
        <w:rPr>
          <w:rFonts w:cs="Times New Roman"/>
        </w:rPr>
        <w:t xml:space="preserve">two </w:t>
      </w:r>
      <w:r w:rsidR="00855CB8" w:rsidRPr="0052447F">
        <w:rPr>
          <w:rFonts w:cs="Times New Roman"/>
        </w:rPr>
        <w:t>processes</w:t>
      </w:r>
      <w:r w:rsidR="006854BF" w:rsidRPr="0052447F">
        <w:rPr>
          <w:rFonts w:cs="Times New Roman"/>
        </w:rPr>
        <w:t xml:space="preserve"> compared to</w:t>
      </w:r>
      <w:r w:rsidR="00855CB8" w:rsidRPr="0052447F">
        <w:rPr>
          <w:rFonts w:cs="Times New Roman"/>
        </w:rPr>
        <w:t xml:space="preserve"> 286 </w:t>
      </w:r>
      <w:r w:rsidR="006854BF" w:rsidRPr="0052447F">
        <w:rPr>
          <w:rFonts w:cs="Times New Roman"/>
        </w:rPr>
        <w:t xml:space="preserve">such </w:t>
      </w:r>
      <w:proofErr w:type="spellStart"/>
      <w:r w:rsidR="00855CB8" w:rsidRPr="0052447F">
        <w:rPr>
          <w:rFonts w:cs="Times New Roman"/>
        </w:rPr>
        <w:t>lncRNAs</w:t>
      </w:r>
      <w:proofErr w:type="spellEnd"/>
      <w:r w:rsidR="00855CB8" w:rsidRPr="0052447F">
        <w:rPr>
          <w:rFonts w:cs="Times New Roman"/>
        </w:rPr>
        <w:t xml:space="preserve"> </w:t>
      </w:r>
      <w:r w:rsidR="006854BF" w:rsidRPr="0052447F">
        <w:rPr>
          <w:rFonts w:cs="Times New Roman"/>
        </w:rPr>
        <w:t>in the existing transcripts</w:t>
      </w:r>
      <w:r w:rsidR="00855CB8" w:rsidRPr="0052447F">
        <w:rPr>
          <w:rFonts w:cs="Times New Roman"/>
        </w:rPr>
        <w:t>.</w:t>
      </w:r>
      <w:r w:rsidR="00855CB8" w:rsidRPr="002C2F74">
        <w:rPr>
          <w:rFonts w:cs="Times New Roman"/>
        </w:rPr>
        <w:t xml:space="preserve"> </w:t>
      </w:r>
    </w:p>
    <w:p w14:paraId="1747FC07" w14:textId="0A685A61" w:rsidR="00A06526" w:rsidRPr="002C2F74" w:rsidRDefault="00A06526" w:rsidP="00A06526">
      <w:pPr>
        <w:snapToGrid w:val="0"/>
        <w:spacing w:line="276" w:lineRule="auto"/>
        <w:ind w:firstLine="420"/>
        <w:rPr>
          <w:rFonts w:cs="Times New Roman"/>
        </w:rPr>
      </w:pPr>
      <w:r w:rsidRPr="002C2F74">
        <w:rPr>
          <w:rFonts w:cs="Times New Roman"/>
        </w:rPr>
        <w:t>Overall, our transcript</w:t>
      </w:r>
      <w:r w:rsidR="006854BF">
        <w:rPr>
          <w:rFonts w:cs="Times New Roman"/>
        </w:rPr>
        <w:t>s</w:t>
      </w:r>
      <w:r w:rsidRPr="002C2F74">
        <w:rPr>
          <w:rFonts w:cs="Times New Roman"/>
        </w:rPr>
        <w:t xml:space="preserve"> not only increase the number of relevant transcripts and </w:t>
      </w:r>
      <w:r w:rsidR="006854BF">
        <w:rPr>
          <w:rFonts w:cs="Times New Roman"/>
        </w:rPr>
        <w:t xml:space="preserve">enrich more related </w:t>
      </w:r>
      <w:r w:rsidRPr="002C2F74">
        <w:rPr>
          <w:rFonts w:cs="Times New Roman"/>
        </w:rPr>
        <w:t xml:space="preserve">pathways but also </w:t>
      </w:r>
      <w:r w:rsidR="006854BF">
        <w:rPr>
          <w:rFonts w:cs="Times New Roman"/>
        </w:rPr>
        <w:t>improve</w:t>
      </w:r>
      <w:r w:rsidRPr="002C2F74">
        <w:rPr>
          <w:rFonts w:cs="Times New Roman"/>
        </w:rPr>
        <w:t xml:space="preserve"> the </w:t>
      </w:r>
      <w:r w:rsidR="006854BF">
        <w:rPr>
          <w:rFonts w:cs="Times New Roman"/>
        </w:rPr>
        <w:t xml:space="preserve">level of details in </w:t>
      </w:r>
      <w:r w:rsidRPr="002C2F74">
        <w:rPr>
          <w:rFonts w:cs="Times New Roman"/>
        </w:rPr>
        <w:t xml:space="preserve">AD-related mechanisms </w:t>
      </w:r>
      <w:r w:rsidR="006854BF">
        <w:rPr>
          <w:rFonts w:cs="Times New Roman"/>
        </w:rPr>
        <w:t xml:space="preserve">that </w:t>
      </w:r>
      <w:r w:rsidRPr="002C2F74">
        <w:rPr>
          <w:rFonts w:cs="Times New Roman"/>
        </w:rPr>
        <w:t>can be studied. All phenotypes and related transcripts involved in this framework are listed in Table S</w:t>
      </w:r>
      <w:r w:rsidR="00597143" w:rsidRPr="002C2F74">
        <w:rPr>
          <w:rFonts w:cs="Times New Roman" w:hint="eastAsia"/>
        </w:rPr>
        <w:t>3</w:t>
      </w:r>
      <w:r w:rsidRPr="002C2F74">
        <w:rPr>
          <w:rFonts w:cs="Times New Roman"/>
        </w:rPr>
        <w:t xml:space="preserve">, and </w:t>
      </w:r>
      <w:r w:rsidR="006854BF">
        <w:rPr>
          <w:rFonts w:cs="Times New Roman"/>
        </w:rPr>
        <w:t>a</w:t>
      </w:r>
      <w:r w:rsidR="006854BF" w:rsidRPr="002C2F74">
        <w:rPr>
          <w:rFonts w:cs="Times New Roman"/>
        </w:rPr>
        <w:t xml:space="preserve"> </w:t>
      </w:r>
      <w:r w:rsidRPr="002C2F74">
        <w:rPr>
          <w:rFonts w:cs="Times New Roman"/>
        </w:rPr>
        <w:t xml:space="preserve">comparison between </w:t>
      </w:r>
      <w:r w:rsidR="006854BF">
        <w:rPr>
          <w:rFonts w:cs="Times New Roman"/>
        </w:rPr>
        <w:t xml:space="preserve">the numbers of </w:t>
      </w:r>
      <w:r w:rsidRPr="002C2F74">
        <w:rPr>
          <w:rFonts w:cs="Times New Roman"/>
        </w:rPr>
        <w:t xml:space="preserve">transcripts </w:t>
      </w:r>
      <w:r w:rsidR="006854BF">
        <w:rPr>
          <w:rFonts w:cs="Times New Roman"/>
        </w:rPr>
        <w:t>related to each of the key mechanisms in our transcripts and the existing ones are listed i</w:t>
      </w:r>
      <w:r w:rsidRPr="002C2F74">
        <w:rPr>
          <w:rFonts w:cs="Times New Roman"/>
        </w:rPr>
        <w:t>n Table 3.</w:t>
      </w:r>
    </w:p>
    <w:p w14:paraId="38D9AE25" w14:textId="77777777" w:rsidR="005175CE" w:rsidRPr="002C2F74" w:rsidRDefault="005175CE" w:rsidP="00A163C1">
      <w:pPr>
        <w:snapToGrid w:val="0"/>
        <w:spacing w:line="276" w:lineRule="auto"/>
        <w:rPr>
          <w:rFonts w:cs="Times New Roman"/>
          <w:b/>
          <w:bCs/>
        </w:rPr>
      </w:pPr>
    </w:p>
    <w:p w14:paraId="5702FC73" w14:textId="0F1BCED0" w:rsidR="007C6BB0" w:rsidRPr="002C2F74" w:rsidRDefault="007C6BB0" w:rsidP="00A163C1">
      <w:pPr>
        <w:snapToGrid w:val="0"/>
        <w:spacing w:line="276" w:lineRule="auto"/>
        <w:rPr>
          <w:rFonts w:eastAsiaTheme="minorEastAsia" w:cs="Times New Roman"/>
          <w:b/>
          <w:bCs/>
        </w:rPr>
      </w:pPr>
      <w:r w:rsidRPr="002C2F74">
        <w:rPr>
          <w:rFonts w:eastAsiaTheme="minorEastAsia" w:cs="Times New Roman"/>
          <w:b/>
          <w:bCs/>
        </w:rPr>
        <w:t xml:space="preserve">3. </w:t>
      </w:r>
      <w:r w:rsidR="00A163C1" w:rsidRPr="002C2F74">
        <w:rPr>
          <w:rFonts w:eastAsiaTheme="minorEastAsia" w:cs="Times New Roman"/>
          <w:b/>
          <w:bCs/>
        </w:rPr>
        <w:t>DISCUSSION</w:t>
      </w:r>
    </w:p>
    <w:p w14:paraId="4D269F89" w14:textId="40926DE4" w:rsidR="00EA0A66" w:rsidRPr="002C2F74" w:rsidRDefault="00C368FB" w:rsidP="00810FF0">
      <w:pPr>
        <w:snapToGrid w:val="0"/>
        <w:spacing w:line="276" w:lineRule="auto"/>
        <w:ind w:firstLine="420"/>
        <w:rPr>
          <w:rFonts w:eastAsiaTheme="minorEastAsia" w:cs="Times New Roman"/>
        </w:rPr>
      </w:pPr>
      <w:r w:rsidRPr="002C2F74">
        <w:rPr>
          <w:rFonts w:eastAsiaTheme="minorEastAsia" w:cs="Times New Roman"/>
        </w:rPr>
        <w:t xml:space="preserve">In this study, we </w:t>
      </w:r>
      <w:r w:rsidR="003578D3" w:rsidRPr="002C2F74">
        <w:rPr>
          <w:rFonts w:eastAsiaTheme="minorEastAsia" w:cs="Times New Roman" w:hint="eastAsia"/>
        </w:rPr>
        <w:t>constructed</w:t>
      </w:r>
      <w:r w:rsidR="003578D3" w:rsidRPr="002C2F74">
        <w:rPr>
          <w:rFonts w:eastAsiaTheme="minorEastAsia" w:cs="Times New Roman"/>
        </w:rPr>
        <w:t xml:space="preserve"> </w:t>
      </w:r>
      <w:r w:rsidRPr="002C2F74">
        <w:rPr>
          <w:rFonts w:eastAsiaTheme="minorEastAsia" w:cs="Times New Roman"/>
        </w:rPr>
        <w:t xml:space="preserve">a transcriptomic dataset for AD and MCI </w:t>
      </w:r>
      <w:r w:rsidR="00810FF0">
        <w:rPr>
          <w:rFonts w:eastAsiaTheme="minorEastAsia" w:cs="Times New Roman"/>
        </w:rPr>
        <w:t xml:space="preserve">tissues </w:t>
      </w:r>
      <w:r w:rsidRPr="002C2F74">
        <w:rPr>
          <w:rFonts w:eastAsiaTheme="minorEastAsia" w:cs="Times New Roman"/>
        </w:rPr>
        <w:t xml:space="preserve">by assembling </w:t>
      </w:r>
      <w:r w:rsidR="00810FF0">
        <w:rPr>
          <w:rFonts w:eastAsiaTheme="minorEastAsia" w:cs="Times New Roman"/>
        </w:rPr>
        <w:t>raw RNA reads in the public domain</w:t>
      </w:r>
      <w:r w:rsidR="003578D3" w:rsidRPr="002C2F74">
        <w:rPr>
          <w:rFonts w:eastAsiaTheme="minorEastAsia" w:cs="Times New Roman"/>
        </w:rPr>
        <w:t>, which considerably expand</w:t>
      </w:r>
      <w:r w:rsidR="004C21B9" w:rsidRPr="002C2F74">
        <w:rPr>
          <w:rFonts w:eastAsiaTheme="minorEastAsia" w:cs="Times New Roman"/>
        </w:rPr>
        <w:t>s</w:t>
      </w:r>
      <w:r w:rsidR="003578D3" w:rsidRPr="002C2F74">
        <w:rPr>
          <w:rFonts w:eastAsiaTheme="minorEastAsia" w:cs="Times New Roman"/>
        </w:rPr>
        <w:t xml:space="preserve"> the existing transcript dataset</w:t>
      </w:r>
      <w:r w:rsidR="004C21B9" w:rsidRPr="002C2F74">
        <w:rPr>
          <w:rFonts w:eastAsiaTheme="minorEastAsia" w:cs="Times New Roman"/>
        </w:rPr>
        <w:t xml:space="preserve"> </w:t>
      </w:r>
      <w:r w:rsidR="004C21B9" w:rsidRPr="002C2F74">
        <w:rPr>
          <w:rFonts w:eastAsiaTheme="minorEastAsia"/>
        </w:rPr>
        <w:fldChar w:fldCharType="begin"/>
      </w:r>
      <w:r w:rsidR="005F39C5">
        <w:rPr>
          <w:rFonts w:eastAsiaTheme="minorEastAsia"/>
        </w:rPr>
        <w:instrText xml:space="preserve"> ADDIN ZOTERO_ITEM CSL_CITATION {"citationID":"fQuUiqzP","properties":{"formattedCitation":"[18], [19]","plainCitation":"[18], [19]","dontUpdate":true,"noteIndex":0},"citationItems":[{"id":7002,"uris":["http://zotero.org/users/5158171/items/UKTRJGV7"],"itemData":{"id":7002,"type":"article-journal","abstract":"Alzheimer’s disease (AD) is the leading cause of dementia in aging individuals. Yet, the pathophysiological processes involved in AD onset and progression are still poorly understood. Among numerous strategies, a comprehensive overview of gene expression alterations in the diseased brain could contribute for a better understanding of the AD pathology. In this work, we probed the differential expression of genes in different brain regions of healthy and AD adult subjects using data from three large transcriptomic studies: Mayo Clinic, Mount Sinai Brain Bank (MSBB), and ROSMAP. Using a combination of differential expression of gene and isoform switch analyses, we provide a detailed landscape of gene expression alterations in the temporal and frontal lobes, harboring brain areas affected at early and late stages of the AD pathology, respectively. Next, we took advantage of an indirect approach to assign the complex gene expression changes revealed in bulk RNAseq to individual cell types/subtypes of the adult brain. This strategy allowed us to identify previously overlooked gene expression changes in the brain of AD patients. Among these alterations, we show isoform switches in the AD causal gene amyloid-beta precursor protein (APP) and the risk gene bridging integrator 1 (BIN1), which could have important functional consequences in neuronal cells. Altogether, our work proposes a novel integrative strategy to analyze RNAseq data in AD and other neurodegenerative diseases based on both gene/transcript expression and regional/cell-type specificities.","container-title":"npj Aging and Mechanisms of Disease","DOI":"10.1038/s41514-020-00052-5","ISSN":"2056-3973","issue":"1","journalAbbreviation":"npj Aging Mech Dis","language":"en","license":"2021 The Author(s)","note":"publisher: Nature Publishing Group","page":"1-15","source":"www.nature.com","title":"Differential transcript usage unravels gene expression alterations in Alzheimer’s disease human brains","volume":"7","author":[{"family":"Marques-Coelho","given":"Diego"},{"family":"Iohan","given":"Lukas da Cruz Carvalho"},{"family":"Melo de Farias","given":"Ana Raquel"},{"family":"Flaig","given":"Amandine"},{"family":"Lambert","given":"Jean-Charles"},{"family":"Costa","given":"Marcos Romualdo"}],"issued":{"date-parts":[["2021",1,4]]}}},{"id":6969,"uris":["http://zotero.org/users/5158171/items/Z4HWYA24"],"itemData":{"id":6969,"type":"article-journal","abstract":"Alzheimer’s disease (AD) is one of the most common neurodegeneration diseases caused by multiple factors. The mechanistic insight of AD remains limited. To disclose molecular mechanisms of AD, many studies have been proposed from transcriptome analyses. However, no analysis across multiple levels of transcription has been conducted to discover co-expression networks of AD. We performed gene-level and isoform-level analyses of RNA sequencing (RNA-seq) data from 544 brain tissues of AD patients, mild cognitive impaired (MCI) patients, and healthy controls. Gene and isoform levels of co-expression modules were constructed by RNA-seq data. The associations of modules with AD were evaluated by integrating cognitive scores of patients, Genome-wide association studies (GWAS), alternative splicing analysis, and dementia-related genes expressed in brain tissues. Totally, 29 co-expression modules were found with expressions significantly correlated with the cognitive scores. Among them, two isoform modules were enriched with AD-associated SNPs and genes whose mRNA splicing displayed significant alteration in relation to AD disease. These two modules were further found enriched with dementia-related genes expressed in four brain regions of 125 AD patients. Analyzing expressions of these two modules revealed expressions of 39 isoforms (corresponding to 35 genes) significantly correlated with cognitive scores of AD patients, in which 38 isoforms were significantly up-regulated in AD patients comparing to controls, and 33 isoforms (corresponding to 29 genes) were not reported as AD-related previously. Employing the co-expression modules and the drug-induced gene expression data from Connectivity Map (CMAP), 12 drugs were predicted as significant in restoring the gene expression of AD patients towards health, which include nine drugs reported for relieving AD. In comparison, four of the top 12 significant drugs were known for relieving AD if the drug prediction was performed by the genes expressed significantly different in AD and healthy controls. Analysis of multiple levels of the transcriptomic organization is useful in suggesting AD-related co-expression networks and discovering drugs.","container-title":"Human Genetics","DOI":"10.1007/s00439-020-02230-7","ISSN":"1432-1203","issue":"4","journalAbbreviation":"Hum Genet","language":"en","page":"609-623","source":"Springer Link","title":"Systematic analysis to identify transcriptome-wide dysregulation of Alzheimer’s disease in genes and isoforms","volume":"140","author":[{"family":"Fan","given":"Cong"},{"family":"Chen","given":"Ken"},{"family":"Zhou","given":"Jiaxin"},{"family":"Wong","given":"Ping-pui"},{"family":"He","given":"Dan"},{"family":"Huang","given":"Yiqi"},{"family":"Wang","given":"Xin"},{"family":"Ling","given":"Tianze"},{"family":"Yang","given":"Yuedong"},{"family":"Zhao","given":"Huiying"}],"issued":{"date-parts":[["2021",4,1]]}}}],"schema":"https://github.com/citation-style-language/schema/raw/master/csl-citation.json"} </w:instrText>
      </w:r>
      <w:r w:rsidR="004C21B9" w:rsidRPr="002C2F74">
        <w:rPr>
          <w:rFonts w:eastAsiaTheme="minorEastAsia"/>
        </w:rPr>
        <w:fldChar w:fldCharType="separate"/>
      </w:r>
      <w:r w:rsidR="00056668" w:rsidRPr="002C2F74">
        <w:rPr>
          <w:rFonts w:cs="Times New Roman"/>
        </w:rPr>
        <w:t>[18, 19]</w:t>
      </w:r>
      <w:r w:rsidR="004C21B9" w:rsidRPr="002C2F74">
        <w:rPr>
          <w:rFonts w:eastAsiaTheme="minorEastAsia"/>
        </w:rPr>
        <w:fldChar w:fldCharType="end"/>
      </w:r>
      <w:r w:rsidR="004C21B9" w:rsidRPr="002C2F74">
        <w:rPr>
          <w:rFonts w:eastAsiaTheme="minorEastAsia" w:cs="Times New Roman"/>
        </w:rPr>
        <w:t>, enabling more in-depth and comprehensive studies of AD biology</w:t>
      </w:r>
      <w:r w:rsidRPr="002C2F74">
        <w:rPr>
          <w:rFonts w:eastAsiaTheme="minorEastAsia" w:cs="Times New Roman"/>
        </w:rPr>
        <w:t xml:space="preserve">. </w:t>
      </w:r>
      <w:r w:rsidR="00EA077A" w:rsidRPr="002C2F74">
        <w:rPr>
          <w:rFonts w:eastAsiaTheme="minorEastAsia" w:cs="Times New Roman"/>
        </w:rPr>
        <w:t>Speci</w:t>
      </w:r>
      <w:r w:rsidR="00564008" w:rsidRPr="002C2F74">
        <w:rPr>
          <w:rFonts w:eastAsiaTheme="minorEastAsia" w:cs="Times New Roman" w:hint="eastAsia"/>
        </w:rPr>
        <w:t>fic</w:t>
      </w:r>
      <w:r w:rsidR="00EA077A" w:rsidRPr="002C2F74">
        <w:rPr>
          <w:rFonts w:eastAsiaTheme="minorEastAsia" w:cs="Times New Roman"/>
        </w:rPr>
        <w:t xml:space="preserve">ally, </w:t>
      </w:r>
      <w:r w:rsidR="005A0AAE" w:rsidRPr="002C2F74">
        <w:rPr>
          <w:rFonts w:eastAsiaTheme="minorEastAsia" w:cs="Times New Roman"/>
        </w:rPr>
        <w:t xml:space="preserve">our data </w:t>
      </w:r>
      <w:r w:rsidR="00CE1F06" w:rsidRPr="002C2F74">
        <w:rPr>
          <w:rFonts w:eastAsiaTheme="minorEastAsia" w:cs="Times New Roman"/>
        </w:rPr>
        <w:t>covers</w:t>
      </w:r>
      <w:r w:rsidR="00355443" w:rsidRPr="00355443">
        <w:rPr>
          <w:rFonts w:eastAsiaTheme="minorEastAsia" w:cs="Times New Roman"/>
        </w:rPr>
        <w:t xml:space="preserve"> 178,979 protein-coding transcripts and 55,098 </w:t>
      </w:r>
      <w:proofErr w:type="spellStart"/>
      <w:r w:rsidR="00355443" w:rsidRPr="00355443">
        <w:rPr>
          <w:rFonts w:eastAsiaTheme="minorEastAsia" w:cs="Times New Roman"/>
        </w:rPr>
        <w:t>lncRNAs</w:t>
      </w:r>
      <w:proofErr w:type="spellEnd"/>
      <w:r w:rsidR="00355443" w:rsidRPr="00355443">
        <w:rPr>
          <w:rFonts w:eastAsiaTheme="minorEastAsia" w:cs="Times New Roman"/>
        </w:rPr>
        <w:t>.</w:t>
      </w:r>
      <w:r w:rsidR="00EA077A" w:rsidRPr="002C2F74">
        <w:rPr>
          <w:rFonts w:eastAsiaTheme="minorEastAsia" w:cs="Times New Roman"/>
        </w:rPr>
        <w:t xml:space="preserve"> </w:t>
      </w:r>
      <w:r w:rsidR="004C21B9" w:rsidRPr="002C2F74">
        <w:rPr>
          <w:rFonts w:eastAsiaTheme="minorEastAsia" w:cs="Times New Roman"/>
        </w:rPr>
        <w:t xml:space="preserve">In addition to this new and the state-of-the-art transcriptomic dataset, we have developed a computational pipeline for assembling full-length transcripts from raw RNAseq reads and </w:t>
      </w:r>
      <w:r w:rsidR="009506F7" w:rsidRPr="002C2F74">
        <w:rPr>
          <w:rFonts w:eastAsiaTheme="minorEastAsia" w:cs="Times New Roman"/>
        </w:rPr>
        <w:t xml:space="preserve">for functional annotation for each transcript through mapping </w:t>
      </w:r>
      <w:r w:rsidR="00810FF0">
        <w:rPr>
          <w:rFonts w:eastAsiaTheme="minorEastAsia" w:cs="Times New Roman"/>
        </w:rPr>
        <w:t>i</w:t>
      </w:r>
      <w:r w:rsidR="009506F7" w:rsidRPr="002C2F74">
        <w:rPr>
          <w:rFonts w:eastAsiaTheme="minorEastAsia" w:cs="Times New Roman"/>
        </w:rPr>
        <w:t xml:space="preserve">t uniquely to a known protein sequence in human or other organisms with known functions. </w:t>
      </w:r>
      <w:r w:rsidR="009506F7" w:rsidRPr="002C2F74">
        <w:rPr>
          <w:rFonts w:eastAsiaTheme="minorEastAsia" w:cs="Times New Roman"/>
        </w:rPr>
        <w:lastRenderedPageBreak/>
        <w:t xml:space="preserve">Furthermore, </w:t>
      </w:r>
      <w:r w:rsidR="00686A75" w:rsidRPr="002C2F74">
        <w:rPr>
          <w:rFonts w:eastAsiaTheme="minorEastAsia" w:cs="Times New Roman"/>
        </w:rPr>
        <w:t xml:space="preserve">a few analysis tools are also included in the pipeline, including pathway enrichment analysis and prediction of the </w:t>
      </w:r>
      <w:r w:rsidR="00810FF0">
        <w:rPr>
          <w:rFonts w:eastAsiaTheme="minorEastAsia" w:cs="Times New Roman"/>
        </w:rPr>
        <w:t xml:space="preserve">regulatory </w:t>
      </w:r>
      <w:r w:rsidR="00686A75" w:rsidRPr="002C2F74">
        <w:rPr>
          <w:rFonts w:eastAsiaTheme="minorEastAsia" w:cs="Times New Roman"/>
        </w:rPr>
        <w:t xml:space="preserve">target genes </w:t>
      </w:r>
      <w:r w:rsidR="00810FF0">
        <w:rPr>
          <w:rFonts w:eastAsiaTheme="minorEastAsia" w:cs="Times New Roman"/>
        </w:rPr>
        <w:t xml:space="preserve">or pathways </w:t>
      </w:r>
      <w:r w:rsidR="00686A75" w:rsidRPr="002C2F74">
        <w:rPr>
          <w:rFonts w:eastAsiaTheme="minorEastAsia" w:cs="Times New Roman"/>
        </w:rPr>
        <w:t xml:space="preserve">of </w:t>
      </w:r>
      <w:proofErr w:type="spellStart"/>
      <w:r w:rsidR="007D28DD" w:rsidRPr="002C2F74">
        <w:rPr>
          <w:rFonts w:eastAsiaTheme="minorEastAsia" w:cs="Times New Roman"/>
        </w:rPr>
        <w:t>lncRNAs</w:t>
      </w:r>
      <w:proofErr w:type="spellEnd"/>
      <w:r w:rsidR="001707A6" w:rsidRPr="002C2F74">
        <w:rPr>
          <w:rFonts w:eastAsiaTheme="minorEastAsia" w:cs="Times New Roman"/>
        </w:rPr>
        <w:t>.</w:t>
      </w:r>
      <w:r w:rsidR="00810FF0">
        <w:rPr>
          <w:rFonts w:eastAsiaTheme="minorEastAsia" w:cs="Times New Roman"/>
        </w:rPr>
        <w:t xml:space="preserve"> </w:t>
      </w:r>
      <w:r w:rsidR="005C114F" w:rsidRPr="002C2F74">
        <w:rPr>
          <w:rFonts w:eastAsiaTheme="minorEastAsia" w:cs="Times New Roman"/>
        </w:rPr>
        <w:t>By</w:t>
      </w:r>
      <w:r w:rsidRPr="002C2F74">
        <w:rPr>
          <w:rFonts w:eastAsiaTheme="minorEastAsia" w:cs="Times New Roman"/>
        </w:rPr>
        <w:t xml:space="preserve"> appl</w:t>
      </w:r>
      <w:r w:rsidR="005C114F" w:rsidRPr="002C2F74">
        <w:rPr>
          <w:rFonts w:eastAsiaTheme="minorEastAsia" w:cs="Times New Roman"/>
        </w:rPr>
        <w:t xml:space="preserve">ying our transcript data and </w:t>
      </w:r>
      <w:r w:rsidR="00810FF0">
        <w:rPr>
          <w:rFonts w:eastAsiaTheme="minorEastAsia" w:cs="Times New Roman"/>
        </w:rPr>
        <w:t>the</w:t>
      </w:r>
      <w:r w:rsidR="00810FF0" w:rsidRPr="002C2F74">
        <w:rPr>
          <w:rFonts w:eastAsiaTheme="minorEastAsia" w:cs="Times New Roman"/>
        </w:rPr>
        <w:t xml:space="preserve"> </w:t>
      </w:r>
      <w:r w:rsidRPr="002C2F74">
        <w:rPr>
          <w:rFonts w:eastAsiaTheme="minorEastAsia" w:cs="Times New Roman"/>
        </w:rPr>
        <w:t xml:space="preserve">computational </w:t>
      </w:r>
      <w:r w:rsidR="005C114F" w:rsidRPr="002C2F74">
        <w:rPr>
          <w:rFonts w:eastAsiaTheme="minorEastAsia" w:cs="Times New Roman"/>
        </w:rPr>
        <w:t>pipeline</w:t>
      </w:r>
      <w:r w:rsidRPr="002C2F74">
        <w:rPr>
          <w:rFonts w:eastAsiaTheme="minorEastAsia" w:cs="Times New Roman"/>
        </w:rPr>
        <w:t xml:space="preserve">, </w:t>
      </w:r>
      <w:r w:rsidR="005C114F" w:rsidRPr="002C2F74">
        <w:rPr>
          <w:rFonts w:eastAsiaTheme="minorEastAsia" w:cs="Times New Roman"/>
        </w:rPr>
        <w:t xml:space="preserve">we have discovered: </w:t>
      </w:r>
    </w:p>
    <w:p w14:paraId="762A0A9A" w14:textId="2EED9691" w:rsidR="00627755" w:rsidRPr="002C2F74" w:rsidRDefault="00810FF0" w:rsidP="00EA0A66">
      <w:pPr>
        <w:snapToGrid w:val="0"/>
        <w:spacing w:line="276" w:lineRule="auto"/>
        <w:ind w:firstLine="420"/>
        <w:rPr>
          <w:rFonts w:eastAsiaTheme="minorEastAsia" w:cs="Times New Roman"/>
        </w:rPr>
      </w:pPr>
      <w:r>
        <w:rPr>
          <w:rFonts w:eastAsiaTheme="minorEastAsia" w:cs="Times New Roman"/>
          <w:b/>
          <w:bCs/>
        </w:rPr>
        <w:t>1</w:t>
      </w:r>
      <w:r w:rsidR="00EA0A66" w:rsidRPr="002C2F74">
        <w:rPr>
          <w:rFonts w:eastAsiaTheme="minorEastAsia" w:cs="Times New Roman" w:hint="eastAsia"/>
          <w:b/>
          <w:bCs/>
        </w:rPr>
        <w:t xml:space="preserve">. </w:t>
      </w:r>
      <w:r w:rsidR="00627755" w:rsidRPr="002C2F74">
        <w:rPr>
          <w:rFonts w:eastAsiaTheme="minorEastAsia" w:cs="Times New Roman"/>
          <w:b/>
          <w:bCs/>
        </w:rPr>
        <w:t xml:space="preserve">Correction of </w:t>
      </w:r>
      <w:r w:rsidRPr="002C2F74">
        <w:rPr>
          <w:rFonts w:eastAsiaTheme="minorEastAsia" w:cs="Times New Roman"/>
          <w:b/>
          <w:bCs/>
        </w:rPr>
        <w:t>false positives and negatives in protein-coding transcripts</w:t>
      </w:r>
      <w:r w:rsidRPr="002C2F74">
        <w:rPr>
          <w:rFonts w:eastAsiaTheme="minorEastAsia" w:cs="Times New Roman"/>
        </w:rPr>
        <w:t>:</w:t>
      </w:r>
      <w:r w:rsidR="00627755" w:rsidRPr="002C2F74">
        <w:rPr>
          <w:rFonts w:eastAsiaTheme="minorEastAsia" w:cs="Times New Roman"/>
        </w:rPr>
        <w:t xml:space="preserve"> </w:t>
      </w:r>
      <w:r>
        <w:rPr>
          <w:rFonts w:eastAsiaTheme="minorEastAsia" w:cs="Times New Roman"/>
        </w:rPr>
        <w:t>By applying our computational pipeline,</w:t>
      </w:r>
      <w:r w:rsidR="00627755" w:rsidRPr="002C2F74">
        <w:rPr>
          <w:rFonts w:eastAsiaTheme="minorEastAsia" w:cs="Times New Roman"/>
        </w:rPr>
        <w:t xml:space="preserve"> we </w:t>
      </w:r>
      <w:r>
        <w:rPr>
          <w:rFonts w:eastAsiaTheme="minorEastAsia" w:cs="Times New Roman"/>
        </w:rPr>
        <w:t xml:space="preserve">identified and </w:t>
      </w:r>
      <w:r w:rsidR="00627755" w:rsidRPr="002C2F74">
        <w:rPr>
          <w:rFonts w:eastAsiaTheme="minorEastAsia" w:cs="Times New Roman"/>
        </w:rPr>
        <w:t xml:space="preserve">corrected </w:t>
      </w:r>
      <w:proofErr w:type="gramStart"/>
      <w:r>
        <w:rPr>
          <w:rFonts w:eastAsiaTheme="minorEastAsia" w:cs="Times New Roman"/>
        </w:rPr>
        <w:t>a large number of</w:t>
      </w:r>
      <w:proofErr w:type="gramEnd"/>
      <w:r w:rsidRPr="002C2F74">
        <w:rPr>
          <w:rFonts w:eastAsiaTheme="minorEastAsia" w:cs="Times New Roman"/>
        </w:rPr>
        <w:t xml:space="preserve"> </w:t>
      </w:r>
      <w:r w:rsidR="00627755" w:rsidRPr="002C2F74">
        <w:rPr>
          <w:rFonts w:eastAsiaTheme="minorEastAsia" w:cs="Times New Roman"/>
        </w:rPr>
        <w:t xml:space="preserve">false positive and false negative protein-coding transcripts in </w:t>
      </w:r>
      <w:r>
        <w:rPr>
          <w:rFonts w:eastAsiaTheme="minorEastAsia" w:cs="Times New Roman"/>
        </w:rPr>
        <w:t>the existing AD transcripts</w:t>
      </w:r>
      <w:r w:rsidR="00627755" w:rsidRPr="002C2F74">
        <w:rPr>
          <w:rFonts w:eastAsiaTheme="minorEastAsia" w:cs="Times New Roman"/>
        </w:rPr>
        <w:t xml:space="preserve">, significantly </w:t>
      </w:r>
      <w:r>
        <w:rPr>
          <w:rFonts w:eastAsiaTheme="minorEastAsia" w:cs="Times New Roman"/>
        </w:rPr>
        <w:t>improving both the size and the quality of the transcriptomic data</w:t>
      </w:r>
      <w:r w:rsidRPr="002C2F74">
        <w:rPr>
          <w:rFonts w:eastAsiaTheme="minorEastAsia" w:cs="Times New Roman"/>
        </w:rPr>
        <w:t xml:space="preserve"> </w:t>
      </w:r>
      <w:r w:rsidR="00627755" w:rsidRPr="002C2F74">
        <w:rPr>
          <w:rFonts w:eastAsiaTheme="minorEastAsia" w:cs="Times New Roman"/>
        </w:rPr>
        <w:t>for AD research.</w:t>
      </w:r>
    </w:p>
    <w:p w14:paraId="3878E916" w14:textId="4AB9A2E2" w:rsidR="00F66EB8" w:rsidRDefault="00F66EB8" w:rsidP="00EA0A66">
      <w:pPr>
        <w:snapToGrid w:val="0"/>
        <w:spacing w:line="276" w:lineRule="auto"/>
        <w:ind w:firstLine="420"/>
        <w:rPr>
          <w:rFonts w:eastAsiaTheme="minorEastAsia" w:cs="Times New Roman"/>
        </w:rPr>
      </w:pPr>
      <w:r>
        <w:rPr>
          <w:rFonts w:eastAsiaTheme="minorEastAsia" w:cs="Times New Roman"/>
          <w:b/>
          <w:bCs/>
        </w:rPr>
        <w:t>2</w:t>
      </w:r>
      <w:r w:rsidR="00EA0A66" w:rsidRPr="002C2F74">
        <w:rPr>
          <w:rFonts w:eastAsiaTheme="minorEastAsia" w:cs="Times New Roman" w:hint="eastAsia"/>
          <w:b/>
          <w:bCs/>
        </w:rPr>
        <w:t xml:space="preserve">. </w:t>
      </w:r>
      <w:r>
        <w:rPr>
          <w:rFonts w:eastAsiaTheme="minorEastAsia" w:cs="Times New Roman"/>
          <w:b/>
          <w:bCs/>
        </w:rPr>
        <w:t>L</w:t>
      </w:r>
      <w:r w:rsidR="00627755" w:rsidRPr="002C2F74">
        <w:rPr>
          <w:rFonts w:eastAsiaTheme="minorEastAsia" w:cs="Times New Roman"/>
          <w:b/>
          <w:bCs/>
        </w:rPr>
        <w:t xml:space="preserve">ncRNA and pH </w:t>
      </w:r>
      <w:r>
        <w:rPr>
          <w:rFonts w:eastAsiaTheme="minorEastAsia" w:cs="Times New Roman"/>
          <w:b/>
          <w:bCs/>
        </w:rPr>
        <w:t>i</w:t>
      </w:r>
      <w:r w:rsidR="00627755" w:rsidRPr="002C2F74">
        <w:rPr>
          <w:rFonts w:eastAsiaTheme="minorEastAsia" w:cs="Times New Roman"/>
          <w:b/>
          <w:bCs/>
        </w:rPr>
        <w:t>mbalance</w:t>
      </w:r>
      <w:r w:rsidR="00627755" w:rsidRPr="002C2F74">
        <w:rPr>
          <w:rFonts w:eastAsiaTheme="minorEastAsia" w:cs="Times New Roman"/>
        </w:rPr>
        <w:t xml:space="preserve">: </w:t>
      </w:r>
      <w:r>
        <w:rPr>
          <w:rFonts w:eastAsiaTheme="minorEastAsia" w:cs="Times New Roman"/>
        </w:rPr>
        <w:t>The substantially increased pool and the improved quality of the AD transcripts have enabled our in-depth studies of AD drivers and molecular mechanisms as highlighted here and detailed in our previous study</w:t>
      </w:r>
      <w:r w:rsidR="001D3C16">
        <w:rPr>
          <w:rFonts w:eastAsiaTheme="minorEastAsia" w:cs="Times New Roman" w:hint="eastAsia"/>
        </w:rPr>
        <w:t xml:space="preserve"> </w:t>
      </w:r>
      <w:r w:rsidR="001D3C16">
        <w:rPr>
          <w:rFonts w:eastAsiaTheme="minorEastAsia" w:cs="Times New Roman"/>
        </w:rPr>
        <w:fldChar w:fldCharType="begin"/>
      </w:r>
      <w:r w:rsidR="001D3C16">
        <w:rPr>
          <w:rFonts w:eastAsiaTheme="minorEastAsia" w:cs="Times New Roman"/>
        </w:rPr>
        <w:instrText xml:space="preserve"> ADDIN ZOTERO_ITEM CSL_CITATION {"citationID":"26ShutYO","properties":{"formattedCitation":"[16], [17]","plainCitation":"[16], [17]","noteIndex":0},"citationItems":[{"id":6519,"uris":["http://zotero.org/users/5158171/items/C2YZFAUF"],"itemData":{"id":6519,"type":"chapter","abstract":"Alzheimer’s disease (AD) is one of the most devastating and complex diseases. Currently, over 50 million patients are suffering from the disease worldwide, more women than men. Dementia is the key early symptom, which gradually progresses to the loss of major cognitive capabilities. The disease may last from a few to over 20 years starting from its first diagnosis. A range of molecular and cellular signatures of AD have been identified and some intensively studied in the past three decades, including Aβplaques, Tau fibrils, increased firing frequencies along with decreased firing amplitudes by neurons, intracellular alkalization, extracellular acidification, numerous altered metabolisms, and massive neuronal death. It has been well established that massive neuronal death is responsible for the reduced cognitive capabilities but unfortunately, its causes and key molecular mechanisms remain elusive. As of now, no medicine is available that can slowdown the disease progression. We have recently conducted comparative computational analyses of the transcriptomic data of over 339 AD tissues at both early and advanced stages versus those of 189 region-matched normal controls, all retrieved from public databases; and discovered that the key phenotypes of AD, including all the above, can be well explained in terms of (a) abnormal changes in both intracellular and extracellular pH in the AD tissue cells, and (b) a few conserved reprogrammed metabolisms induced in response to such changes for maintaining the pH levels within viable ranges. Our study, for the first time, presents a mechanistic model for AD development from the early onset to the advanced stage, which is consistent with the transcriptomic data of all the AD tissues under study as well as the phenotypes of AD outlined above and reported in the literature.","container-title":"Introduction to Condensed Matter Chemistry","ISBN":"978-0-443-16140-7","note":"DOI: 10.1016/B978-0-443-16140-7.00008-0","page":"379-405","publisher":"Elsevier","source":"ScienceDirect","title":"Chapter 14 - Understanding Alzheimer’s disease at the chemistry level","URL":"https://www.sciencedirect.com/science/article/pii/B9780443161407000080","author":[{"family":"Xu","given":"Ying"},{"family":"Huang","given":"Zhenyu"},{"family":"Mu","given":"Xuechen"}],"editor":[{"family":"Xu","given":"Ruren"},{"family":"Yu","given":"Jihong"},{"family":"Yan","given":"Wenfu"}],"accessed":{"date-parts":[["2024",6,29]]},"issued":{"date-parts":[["2024",1,1]]}}},{"id":6833,"uris":["http://zotero.org/users/5158171/items/G97J6IRF"],"itemData":{"id":6833,"type":"article-journal","abstract":"Alzheimer’s disease (AD) is a multifaceted neurodegenerative disorder characterized by cognitive decline and neuronal loss, representing a most challenging health issue. We present a computational analysis of transcriptomic data of AD tissues vs. healthy controls, focused on the elucidation of functional roles played by long non-coding RNAs (lncRNAs) throughout the AD progression. We first assembled our own lncRNA transcripts from the raw RNA-Seq data generated from 527 samples of the dorsolateral prefrontal cortex, resulting in the identification of 31,574 novel lncRNA genes. Based on co-expression analyses between mRNAs and lncRNAs, a co-expression network was constructed. Maximal subnetworks with dense connections were identified as functional clusters. Pathway enrichment analyses were conducted over mRNAs and lncRNAs in each cluster, which served as the basis for the inference of functional roles played by lncRNAs involved in each of the key steps in an AD development model that we have previously built based on transcriptomic data of protein-encoding genes. Detailed information is presented about the functional roles of lncRNAs in activities related to stress response, reprogrammed metabolism, cell polarity, and development. Our analyses also revealed that lncRNAs have the discerning power to distinguish between AD samples of each stage and healthy controls. This study represents the first of its kind.","container-title":"International Journal of Molecular Sciences","DOI":"10.3390/ijms25179211","ISSN":"1422-0067","issue":"17","language":"en","license":"http://creativecommons.org/licenses/by/3.0/","note":"number: 17\npublisher: Multidisciplinary Digital Publishing Institute","page":"9211","source":"www.mdpi.com","title":"Elucidating the Functional Roles of Long Non-Coding RNAs in Alzheimer’s Disease","volume":"25","author":[{"family":"Huang","given":"Zhenyu"},{"family":"Chen","given":"Qiufen"},{"family":"Mu","given":"Xuechen"},{"family":"An","given":"Zheng"},{"family":"Xu","given":"Ying"}],"issued":{"date-parts":[["2024",1]]}}}],"schema":"https://github.com/citation-style-language/schema/raw/master/csl-citation.json"} </w:instrText>
      </w:r>
      <w:r w:rsidR="001D3C16">
        <w:rPr>
          <w:rFonts w:eastAsiaTheme="minorEastAsia" w:cs="Times New Roman"/>
        </w:rPr>
        <w:fldChar w:fldCharType="separate"/>
      </w:r>
      <w:r w:rsidR="001D3C16" w:rsidRPr="001D3C16">
        <w:rPr>
          <w:rFonts w:cs="Times New Roman"/>
        </w:rPr>
        <w:t>[16, 17]</w:t>
      </w:r>
      <w:r w:rsidR="001D3C16">
        <w:rPr>
          <w:rFonts w:eastAsiaTheme="minorEastAsia" w:cs="Times New Roman"/>
        </w:rPr>
        <w:fldChar w:fldCharType="end"/>
      </w:r>
      <w:r>
        <w:rPr>
          <w:rFonts w:eastAsiaTheme="minorEastAsia" w:cs="Times New Roman"/>
        </w:rPr>
        <w:t xml:space="preserve">, particularly how </w:t>
      </w:r>
      <w:proofErr w:type="spellStart"/>
      <w:r>
        <w:rPr>
          <w:rFonts w:eastAsiaTheme="minorEastAsia" w:cs="Times New Roman"/>
        </w:rPr>
        <w:t>lncRNAs</w:t>
      </w:r>
      <w:proofErr w:type="spellEnd"/>
      <w:r>
        <w:rPr>
          <w:rFonts w:eastAsiaTheme="minorEastAsia" w:cs="Times New Roman"/>
        </w:rPr>
        <w:t xml:space="preserve"> are involved in keeping the pH stable</w:t>
      </w:r>
      <w:r w:rsidR="001D3C16">
        <w:rPr>
          <w:rFonts w:eastAsiaTheme="minorEastAsia" w:cs="Times New Roman" w:hint="eastAsia"/>
        </w:rPr>
        <w:t xml:space="preserve"> </w:t>
      </w:r>
      <w:r w:rsidR="001D3C16">
        <w:rPr>
          <w:rFonts w:eastAsiaTheme="minorEastAsia" w:cs="Times New Roman"/>
        </w:rPr>
        <w:fldChar w:fldCharType="begin"/>
      </w:r>
      <w:r w:rsidR="001D3C16">
        <w:rPr>
          <w:rFonts w:eastAsiaTheme="minorEastAsia" w:cs="Times New Roman"/>
        </w:rPr>
        <w:instrText xml:space="preserve"> ADDIN ZOTERO_ITEM CSL_CITATION {"citationID":"26ShutYO","properties":{"formattedCitation":"[16], [17]","plainCitation":"[16], [17]","noteIndex":0},"citationItems":[{"id":6519,"uris":["http://zotero.org/users/5158171/items/C2YZFAUF"],"itemData":{"id":6519,"type":"chapter","abstract":"Alzheimer’s disease (AD) is one of the most devastating and complex diseases. Currently, over 50 million patients are suffering from the disease worldwide, more women than men. Dementia is the key early symptom, which gradually progresses to the loss of major cognitive capabilities. The disease may last from a few to over 20 years starting from its first diagnosis. A range of molecular and cellular signatures of AD have been identified and some intensively studied in the past three decades, including Aβplaques, Tau fibrils, increased firing frequencies along with decreased firing amplitudes by neurons, intracellular alkalization, extracellular acidification, numerous altered metabolisms, and massive neuronal death. It has been well established that massive neuronal death is responsible for the reduced cognitive capabilities but unfortunately, its causes and key molecular mechanisms remain elusive. As of now, no medicine is available that can slowdown the disease progression. We have recently conducted comparative computational analyses of the transcriptomic data of over 339 AD tissues at both early and advanced stages versus those of 189 region-matched normal controls, all retrieved from public databases; and discovered that the key phenotypes of AD, including all the above, can be well explained in terms of (a) abnormal changes in both intracellular and extracellular pH in the AD tissue cells, and (b) a few conserved reprogrammed metabolisms induced in response to such changes for maintaining the pH levels within viable ranges. Our study, for the first time, presents a mechanistic model for AD development from the early onset to the advanced stage, which is consistent with the transcriptomic data of all the AD tissues under study as well as the phenotypes of AD outlined above and reported in the literature.","container-title":"Introduction to Condensed Matter Chemistry","ISBN":"978-0-443-16140-7","note":"DOI: 10.1016/B978-0-443-16140-7.00008-0","page":"379-405","publisher":"Elsevier","source":"ScienceDirect","title":"Chapter 14 - Understanding Alzheimer’s disease at the chemistry level","URL":"https://www.sciencedirect.com/science/article/pii/B9780443161407000080","author":[{"family":"Xu","given":"Ying"},{"family":"Huang","given":"Zhenyu"},{"family":"Mu","given":"Xuechen"}],"editor":[{"family":"Xu","given":"Ruren"},{"family":"Yu","given":"Jihong"},{"family":"Yan","given":"Wenfu"}],"accessed":{"date-parts":[["2024",6,29]]},"issued":{"date-parts":[["2024",1,1]]}}},{"id":6833,"uris":["http://zotero.org/users/5158171/items/G97J6IRF"],"itemData":{"id":6833,"type":"article-journal","abstract":"Alzheimer’s disease (AD) is a multifaceted neurodegenerative disorder characterized by cognitive decline and neuronal loss, representing a most challenging health issue. We present a computational analysis of transcriptomic data of AD tissues vs. healthy controls, focused on the elucidation of functional roles played by long non-coding RNAs (lncRNAs) throughout the AD progression. We first assembled our own lncRNA transcripts from the raw RNA-Seq data generated from 527 samples of the dorsolateral prefrontal cortex, resulting in the identification of 31,574 novel lncRNA genes. Based on co-expression analyses between mRNAs and lncRNAs, a co-expression network was constructed. Maximal subnetworks with dense connections were identified as functional clusters. Pathway enrichment analyses were conducted over mRNAs and lncRNAs in each cluster, which served as the basis for the inference of functional roles played by lncRNAs involved in each of the key steps in an AD development model that we have previously built based on transcriptomic data of protein-encoding genes. Detailed information is presented about the functional roles of lncRNAs in activities related to stress response, reprogrammed metabolism, cell polarity, and development. Our analyses also revealed that lncRNAs have the discerning power to distinguish between AD samples of each stage and healthy controls. This study represents the first of its kind.","container-title":"International Journal of Molecular Sciences","DOI":"10.3390/ijms25179211","ISSN":"1422-0067","issue":"17","language":"en","license":"http://creativecommons.org/licenses/by/3.0/","note":"number: 17\npublisher: Multidisciplinary Digital Publishing Institute","page":"9211","source":"www.mdpi.com","title":"Elucidating the Functional Roles of Long Non-Coding RNAs in Alzheimer’s Disease","volume":"25","author":[{"family":"Huang","given":"Zhenyu"},{"family":"Chen","given":"Qiufen"},{"family":"Mu","given":"Xuechen"},{"family":"An","given":"Zheng"},{"family":"Xu","given":"Ying"}],"issued":{"date-parts":[["2024",1]]}}}],"schema":"https://github.com/citation-style-language/schema/raw/master/csl-citation.json"} </w:instrText>
      </w:r>
      <w:r w:rsidR="001D3C16">
        <w:rPr>
          <w:rFonts w:eastAsiaTheme="minorEastAsia" w:cs="Times New Roman"/>
        </w:rPr>
        <w:fldChar w:fldCharType="separate"/>
      </w:r>
      <w:r w:rsidR="001D3C16" w:rsidRPr="001D3C16">
        <w:rPr>
          <w:rFonts w:cs="Times New Roman"/>
        </w:rPr>
        <w:t>[16, 17]</w:t>
      </w:r>
      <w:r w:rsidR="001D3C16">
        <w:rPr>
          <w:rFonts w:eastAsiaTheme="minorEastAsia" w:cs="Times New Roman"/>
        </w:rPr>
        <w:fldChar w:fldCharType="end"/>
      </w:r>
    </w:p>
    <w:p w14:paraId="7C3A80D2" w14:textId="06DDCBAA" w:rsidR="00462D89" w:rsidRPr="002C2F74" w:rsidRDefault="00462D89" w:rsidP="00C368FB">
      <w:pPr>
        <w:snapToGrid w:val="0"/>
        <w:spacing w:line="276" w:lineRule="auto"/>
        <w:ind w:firstLine="420"/>
        <w:rPr>
          <w:rFonts w:eastAsiaTheme="minorEastAsia" w:cs="Times New Roman"/>
        </w:rPr>
      </w:pPr>
      <w:r w:rsidRPr="002C2F74">
        <w:rPr>
          <w:rFonts w:eastAsiaTheme="minorEastAsia" w:cs="Times New Roman"/>
        </w:rPr>
        <w:t>Our data also provide new types of information regarding the metabolic reprogramming initiated in response to pH imbalance in AD. Specifically, our findings support the notion that AD faces pH imbalance, which triggers a series of metabolic reprogramming events, such as the activation of cytosolic acidifying transporters</w:t>
      </w:r>
      <w:r w:rsidR="0009769C" w:rsidRPr="002C2F74">
        <w:rPr>
          <w:rFonts w:eastAsiaTheme="minorEastAsia" w:cs="Times New Roman" w:hint="eastAsia"/>
        </w:rPr>
        <w:t xml:space="preserve"> </w:t>
      </w:r>
      <w:r w:rsidR="0009769C" w:rsidRPr="002C2F74">
        <w:rPr>
          <w:rFonts w:eastAsiaTheme="minorEastAsia" w:cs="Times New Roman"/>
        </w:rPr>
        <w:fldChar w:fldCharType="begin"/>
      </w:r>
      <w:r w:rsidR="005F39C5">
        <w:rPr>
          <w:rFonts w:eastAsiaTheme="minorEastAsia" w:cs="Times New Roman"/>
        </w:rPr>
        <w:instrText xml:space="preserve"> ADDIN ZOTERO_ITEM CSL_CITATION {"citationID":"vtshaUgk","properties":{"formattedCitation":"[16], [20]","plainCitation":"[16], [20]","dontUpdate":true,"noteIndex":0},"citationItems":[{"id":6833,"uris":["http://zotero.org/users/5158171/items/G97J6IRF"],"itemData":{"id":6833,"type":"article-journal","abstract":"Alzheimer’s disease (AD) is a multifaceted neurodegenerative disorder characterized by cognitive decline and neuronal loss, representing a most challenging health issue. We present a computational analysis of transcriptomic data of AD tissues vs. healthy controls, focused on the elucidation of functional roles played by long non-coding RNAs (lncRNAs) throughout the AD progression. We first assembled our own lncRNA transcripts from the raw RNA-Seq data generated from 527 samples of the dorsolateral prefrontal cortex, resulting in the identification of 31,574 novel lncRNA genes. Based on co-expression analyses between mRNAs and lncRNAs, a co-expression network was constructed. Maximal subnetworks with dense connections were identified as functional clusters. Pathway enrichment analyses were conducted over mRNAs and lncRNAs in each cluster, which served as the basis for the inference of functional roles played by lncRNAs involved in each of the key steps in an AD development model that we have previously built based on transcriptomic data of protein-encoding genes. Detailed information is presented about the functional roles of lncRNAs in activities related to stress response, reprogrammed metabolism, cell polarity, and development. Our analyses also revealed that lncRNAs have the discerning power to distinguish between AD samples of each stage and healthy controls. This study represents the first of its kind.","container-title":"International Journal of Molecular Sciences","DOI":"10.3390/ijms25179211","ISSN":"1422-0067","issue":"17","language":"en","license":"http://creativecommons.org/licenses/by/3.0/","note":"number: 17\npublisher: Multidisciplinary Digital Publishing Institute","page":"9211","source":"www.mdpi.com","title":"Elucidating the Functional Roles of Long Non-Coding RNAs in Alzheimer’s Disease","volume":"25","author":[{"family":"Huang","given":"Zhenyu"},{"family":"Chen","given":"Qiufen"},{"family":"Mu","given":"Xuechen"},{"family":"An","given":"Zheng"},{"family":"Xu","given":"Ying"}],"issued":{"date-parts":[["2024",1]]}}},{"id":6519,"uris":["http://zotero.org/users/5158171/items/C2YZFAUF"],"itemData":{"id":6519,"type":"chapter","abstract":"Alzheimer’s disease (AD) is one of the most devastating and complex diseases. Currently, over 50 million patients are suffering from the disease worldwide, more women than men. Dementia is the key early symptom, which gradually progresses to the loss of major cognitive capabilities. The disease may last from a few to over 20 years starting from its first diagnosis. A range of molecular and cellular signatures of AD have been identified and some intensively studied in the past three decades, including Aβplaques, Tau fibrils, increased firing frequencies along with decreased firing amplitudes by neurons, intracellular alkalization, extracellular acidification, numerous altered metabolisms, and massive neuronal death. It has been well established that massive neuronal death is responsible for the reduced cognitive capabilities but unfortunately, its causes and key molecular mechanisms remain elusive. As of now, no medicine is available that can slowdown the disease progression. We have recently conducted comparative computational analyses of the transcriptomic data of over 339 AD tissues at both early and advanced stages versus those of 189 region-matched normal controls, all retrieved from public databases; and discovered that the key phenotypes of AD, including all the above, can be well explained in terms of (a) abnormal changes in both intracellular and extracellular pH in the AD tissue cells, and (b) a few conserved reprogrammed metabolisms induced in response to such changes for maintaining the pH levels within viable ranges. Our study, for the first time, presents a mechanistic model for AD development from the early onset to the advanced stage, which is consistent with the transcriptomic data of all the AD tissues under study as well as the phenotypes of AD outlined above and reported in the literature.","container-title":"Introduction to Condensed Matter Chemistry","ISBN":"978-0-443-16140-7","note":"DOI: 10.1016/B978-0-443-16140-7.00008-0","page":"379-405","publisher":"Elsevier","source":"ScienceDirect","title":"Chapter 14 - Understanding Alzheimer’s disease at the chemistry level","URL":"https://www.sciencedirect.com/science/article/pii/B9780443161407000080","author":[{"family":"Xu","given":"Ying"},{"family":"Huang","given":"Zhenyu"},{"family":"Mu","given":"Xuechen"}],"editor":[{"family":"Xu","given":"Ruren"},{"family":"Yu","given":"Jihong"},{"family":"Yan","given":"Wenfu"}],"accessed":{"date-parts":[["2024",6,29]]},"issued":{"date-parts":[["2024",1,1]]}}}],"schema":"https://github.com/citation-style-language/schema/raw/master/csl-citation.json"} </w:instrText>
      </w:r>
      <w:r w:rsidR="0009769C" w:rsidRPr="002C2F74">
        <w:rPr>
          <w:rFonts w:eastAsiaTheme="minorEastAsia" w:cs="Times New Roman"/>
        </w:rPr>
        <w:fldChar w:fldCharType="separate"/>
      </w:r>
      <w:r w:rsidR="0009769C" w:rsidRPr="002C2F74">
        <w:rPr>
          <w:rFonts w:cs="Times New Roman"/>
        </w:rPr>
        <w:t>[16, 20]</w:t>
      </w:r>
      <w:r w:rsidR="0009769C" w:rsidRPr="002C2F74">
        <w:rPr>
          <w:rFonts w:eastAsiaTheme="minorEastAsia" w:cs="Times New Roman"/>
        </w:rPr>
        <w:fldChar w:fldCharType="end"/>
      </w:r>
      <w:r w:rsidRPr="002C2F74">
        <w:rPr>
          <w:rFonts w:eastAsiaTheme="minorEastAsia" w:cs="Times New Roman"/>
        </w:rPr>
        <w:t xml:space="preserve">. Notably, the main mechanism </w:t>
      </w:r>
      <w:r w:rsidR="0060013B">
        <w:rPr>
          <w:rFonts w:eastAsiaTheme="minorEastAsia" w:cs="Times New Roman"/>
        </w:rPr>
        <w:t>for</w:t>
      </w:r>
      <w:r w:rsidR="0060013B" w:rsidRPr="002C2F74">
        <w:rPr>
          <w:rFonts w:eastAsiaTheme="minorEastAsia" w:cs="Times New Roman"/>
        </w:rPr>
        <w:t xml:space="preserve"> </w:t>
      </w:r>
      <w:r w:rsidRPr="002C2F74">
        <w:rPr>
          <w:rFonts w:eastAsiaTheme="minorEastAsia" w:cs="Times New Roman"/>
        </w:rPr>
        <w:t>alleviat</w:t>
      </w:r>
      <w:r w:rsidR="0060013B">
        <w:rPr>
          <w:rFonts w:eastAsiaTheme="minorEastAsia" w:cs="Times New Roman"/>
        </w:rPr>
        <w:t>ing</w:t>
      </w:r>
      <w:r w:rsidRPr="002C2F74">
        <w:rPr>
          <w:rFonts w:eastAsiaTheme="minorEastAsia" w:cs="Times New Roman"/>
        </w:rPr>
        <w:t xml:space="preserve"> intracellular alkalosis involves </w:t>
      </w:r>
      <w:r w:rsidR="0060013B" w:rsidRPr="002C2F74">
        <w:rPr>
          <w:rFonts w:eastAsiaTheme="minorEastAsia" w:cs="Times New Roman"/>
        </w:rPr>
        <w:t>H</w:t>
      </w:r>
      <w:r w:rsidR="0060013B" w:rsidRPr="002C2F74">
        <w:rPr>
          <w:rFonts w:eastAsiaTheme="minorEastAsia" w:cs="Times New Roman"/>
          <w:vertAlign w:val="superscript"/>
        </w:rPr>
        <w:t>+</w:t>
      </w:r>
      <w:r w:rsidR="0060013B">
        <w:rPr>
          <w:rFonts w:eastAsiaTheme="minorEastAsia" w:cs="Times New Roman"/>
        </w:rPr>
        <w:t>-producing</w:t>
      </w:r>
      <w:r w:rsidR="0060013B">
        <w:rPr>
          <w:rFonts w:eastAsiaTheme="minorEastAsia" w:cs="Times New Roman"/>
          <w:vertAlign w:val="superscript"/>
        </w:rPr>
        <w:t xml:space="preserve"> </w:t>
      </w:r>
      <w:r w:rsidRPr="002C2F74">
        <w:rPr>
          <w:rFonts w:eastAsiaTheme="minorEastAsia" w:cs="Times New Roman"/>
        </w:rPr>
        <w:t xml:space="preserve">enzymes </w:t>
      </w:r>
      <w:r w:rsidR="0009769C" w:rsidRPr="002C2F74">
        <w:rPr>
          <w:rFonts w:eastAsiaTheme="minorEastAsia" w:cs="Times New Roman"/>
          <w:vertAlign w:val="superscript"/>
        </w:rPr>
        <w:fldChar w:fldCharType="begin"/>
      </w:r>
      <w:r w:rsidR="0009769C" w:rsidRPr="002C2F74">
        <w:rPr>
          <w:rFonts w:eastAsiaTheme="minorEastAsia" w:cs="Times New Roman"/>
          <w:vertAlign w:val="superscript"/>
        </w:rPr>
        <w:instrText xml:space="preserve"> ADDIN ZOTERO_ITEM CSL_CITATION {"citationID":"c4saiYQE","properties":{"formattedCitation":"[21]","plainCitation":"[21]","noteIndex":0},"citationItems":[{"id":2161,"uris":["http://zotero.org/users/5158171/items/7EZXTLI9"],"itemData":{"id":2161,"type":"article-journal","abstract":"In eukaryotic cells, the steady-state pH of intracellular compartments varies greatly, is tightly controlled and is an important determinant of their function.In general, the cytoplasm tends to acidify as a result of catabolism and a negative membrane potential that drives the accumulation of H+ through cation channels and the loss of basic HCO3− through anion channels. Countering this acidification are intrinsic buffers (ionizable groups on amino acids, phosphates and other molecules) and HCO3−, which have a finite capacity, as well as distinct plasma membrane pH-regulatory transporters (for example, Na+–H+ exchangers and bicarbonate transporters) that finely control pH to keep it close to neutral — a level that is optimal for many protein interactions and cellular processes.Some organelles, including the nucleus, endoplasmic reticulum and peroxisomes, seem to lack intrinsic pH-regulatory systems and instead seem highly permeable to H+ (or acid equivalents). Hence, these compartments readily equilibrate their luminal pH to levels found in the cytoplasm.Organelles of the secretory and endocytic pathways are distinguished by their luminal acidity (pH 6.7–4.7), which is attained through the concerted actions of vacuolar H+–ATPases, 2 Cl−/1 H+ and Na+–H+ or K+–H+ exchangers. Progressive acidification of organelles along the secretory pathway is important for proper post-translational processing, sorting and transport of newly synthesized proteins. Likewise, graded acidification of vesicles along the endocytic pathway is essential for the recycling and/or degradation of internalized membrane proteins, fluid-phase solutes and entry of various microbial organisms.By contrast, the mitochondrial matrix is quite alkaline (pH 8.0) owing to H+ extrusion across the inner membrane by components of the electron transport chain. Together with the electrical potential (inside negative) generated by the electrogenic proton extrusion process, the transmembrane pH gradient constitutes a proton-motive force that is harnessed by the inner membrane H+-ATP synthase (F1F0-ATPase) to generate ATP from ADP and inorganic phosphate.Many cellular processes are exquisitely sensitive to changes in the surrounding pH. Fluctuations in the H+ concentration in some cases act as a general permissive factor, whereas in other cases they act directly as a regulatory signal.","container-title":"Nature Reviews Molecular Cell Biology","DOI":"10.1038/nrm2820","ISSN":"1471-0080","issue":"1","journalAbbreviation":"Nat Rev Mol Cell Biol","language":"en","license":"2009 Nature Publishing Group","note":"number: 1\npublisher: Nature Publishing Group","page":"50-61","source":"www.nature.com","title":"Sensors and regulators of intracellular pH","volume":"11","author":[{"family":"Casey","given":"Joseph R."},{"family":"Grinstein","given":"Sergio"},{"family":"Orlowski","given":"John"}],"issued":{"date-parts":[["2010",1]]}}}],"schema":"https://github.com/citation-style-language/schema/raw/master/csl-citation.json"} </w:instrText>
      </w:r>
      <w:r w:rsidR="0009769C" w:rsidRPr="002C2F74">
        <w:rPr>
          <w:rFonts w:eastAsiaTheme="minorEastAsia" w:cs="Times New Roman"/>
          <w:vertAlign w:val="superscript"/>
        </w:rPr>
        <w:fldChar w:fldCharType="separate"/>
      </w:r>
      <w:r w:rsidR="0009769C" w:rsidRPr="002C2F74">
        <w:rPr>
          <w:rFonts w:cs="Times New Roman"/>
        </w:rPr>
        <w:t>[21]</w:t>
      </w:r>
      <w:r w:rsidR="0009769C" w:rsidRPr="002C2F74">
        <w:rPr>
          <w:rFonts w:eastAsiaTheme="minorEastAsia" w:cs="Times New Roman"/>
          <w:vertAlign w:val="superscript"/>
        </w:rPr>
        <w:fldChar w:fldCharType="end"/>
      </w:r>
      <w:r w:rsidRPr="002C2F74">
        <w:rPr>
          <w:rFonts w:eastAsiaTheme="minorEastAsia" w:cs="Times New Roman"/>
        </w:rPr>
        <w:t xml:space="preserve">. Therefore, our data enable the identification of </w:t>
      </w:r>
      <w:r w:rsidR="0060013B">
        <w:rPr>
          <w:rFonts w:eastAsiaTheme="minorEastAsia" w:cs="Times New Roman"/>
        </w:rPr>
        <w:t>acidifying</w:t>
      </w:r>
      <w:r w:rsidRPr="002C2F74">
        <w:rPr>
          <w:rFonts w:eastAsiaTheme="minorEastAsia" w:cs="Times New Roman"/>
        </w:rPr>
        <w:t xml:space="preserve"> metabolic pathways involved in</w:t>
      </w:r>
      <w:r w:rsidR="0060013B">
        <w:rPr>
          <w:rFonts w:eastAsiaTheme="minorEastAsia" w:cs="Times New Roman"/>
        </w:rPr>
        <w:t xml:space="preserve"> keeping </w:t>
      </w:r>
      <w:r w:rsidRPr="002C2F74">
        <w:rPr>
          <w:rFonts w:eastAsiaTheme="minorEastAsia" w:cs="Times New Roman"/>
        </w:rPr>
        <w:t xml:space="preserve">pH </w:t>
      </w:r>
      <w:r w:rsidR="0060013B">
        <w:rPr>
          <w:rFonts w:eastAsiaTheme="minorEastAsia" w:cs="Times New Roman"/>
        </w:rPr>
        <w:t>stable</w:t>
      </w:r>
      <w:r w:rsidR="0060013B" w:rsidRPr="002C2F74">
        <w:rPr>
          <w:rFonts w:eastAsiaTheme="minorEastAsia" w:cs="Times New Roman"/>
        </w:rPr>
        <w:t xml:space="preserve"> </w:t>
      </w:r>
      <w:r w:rsidRPr="002C2F74">
        <w:rPr>
          <w:rFonts w:eastAsiaTheme="minorEastAsia" w:cs="Times New Roman"/>
        </w:rPr>
        <w:t xml:space="preserve">in AD, offering a novel perspective on the metabolic reprogramming associated with </w:t>
      </w:r>
      <w:r w:rsidR="0060013B">
        <w:rPr>
          <w:rFonts w:eastAsiaTheme="minorEastAsia" w:cs="Times New Roman"/>
        </w:rPr>
        <w:t xml:space="preserve">the </w:t>
      </w:r>
      <w:r w:rsidRPr="002C2F74">
        <w:rPr>
          <w:rFonts w:eastAsiaTheme="minorEastAsia" w:cs="Times New Roman"/>
        </w:rPr>
        <w:t>disease progression.</w:t>
      </w:r>
    </w:p>
    <w:p w14:paraId="0DFB2120" w14:textId="1CD449DA" w:rsidR="00C368FB" w:rsidRPr="002C2F74" w:rsidRDefault="00564008" w:rsidP="00C368FB">
      <w:pPr>
        <w:snapToGrid w:val="0"/>
        <w:spacing w:line="276" w:lineRule="auto"/>
        <w:ind w:firstLine="420"/>
        <w:rPr>
          <w:rFonts w:eastAsiaTheme="minorEastAsia" w:cs="Times New Roman"/>
        </w:rPr>
      </w:pPr>
      <w:r w:rsidRPr="002C2F74">
        <w:rPr>
          <w:rFonts w:eastAsiaTheme="minorEastAsia" w:cs="Times New Roman"/>
        </w:rPr>
        <w:t>T</w:t>
      </w:r>
      <w:r w:rsidR="00C368FB" w:rsidRPr="002C2F74">
        <w:rPr>
          <w:rFonts w:eastAsiaTheme="minorEastAsia" w:cs="Times New Roman"/>
        </w:rPr>
        <w:t xml:space="preserve">here are several limitations </w:t>
      </w:r>
      <w:r w:rsidRPr="002C2F74">
        <w:rPr>
          <w:rFonts w:eastAsiaTheme="minorEastAsia" w:cs="Times New Roman"/>
        </w:rPr>
        <w:t xml:space="preserve">in </w:t>
      </w:r>
      <w:r w:rsidR="00C368FB" w:rsidRPr="002C2F74">
        <w:rPr>
          <w:rFonts w:eastAsiaTheme="minorEastAsia" w:cs="Times New Roman"/>
        </w:rPr>
        <w:t>this study. First, our analysis relies on postmortem brain tissue, which may not fully capture the dynamic changes occurring during the earlier stages of the disease</w:t>
      </w:r>
      <w:r w:rsidR="00064DAA" w:rsidRPr="002C2F74">
        <w:rPr>
          <w:rFonts w:eastAsiaTheme="minorEastAsia" w:cs="Times New Roman" w:hint="eastAsia"/>
        </w:rPr>
        <w:t xml:space="preserve"> </w:t>
      </w:r>
      <w:r w:rsidR="00064DAA" w:rsidRPr="002C2F74">
        <w:rPr>
          <w:rFonts w:eastAsiaTheme="minorEastAsia" w:cs="Times New Roman"/>
        </w:rPr>
        <w:fldChar w:fldCharType="begin"/>
      </w:r>
      <w:r w:rsidR="0009769C" w:rsidRPr="002C2F74">
        <w:rPr>
          <w:rFonts w:eastAsiaTheme="minorEastAsia" w:cs="Times New Roman"/>
        </w:rPr>
        <w:instrText xml:space="preserve"> ADDIN ZOTERO_ITEM CSL_CITATION {"citationID":"RvQK1DC7","properties":{"formattedCitation":"[22]","plainCitation":"[22]","noteIndex":0},"citationItems":[{"id":7047,"uris":["http://zotero.org/users/5158171/items/3578NTC4"],"itemData":{"id":7047,"type":"article-journal","abstract":"We are building an open-access database of regional human brain expression designed to allow the genome-wide assessment of genetic variability on expression. Array and RNA sequencing technologies make assessment of genome-wide expression possible. Human brain tissue is a challenging source for this work because it can only be obtained several and variable hours post-mortem and after varying agonal states. These variables alter RNA integrity in a complex manner. In this report, we assess the effect of post-mortem delay, agonal state and age on gene expression, and the utility of pH and RNA integrity number as predictors of gene expression as measured on 1266 Affymetrix Exon Arrays. We assessed the accuracy of the array data using QuantiGene, as an independent non-PCR-based method. These quality control parameters will allow database users to assess data accuracy. We report that within the parameters of this study post-mortem delay, agonal state and age have little impact on array quality, array data are robust to variable RNA integrity, and brain pH has only a small effect on array performance. QuantiGene gave very similar expression profiles as array data. This study is the first step in our initiative to make human, regional brain expression freely available.","container-title":"Journal of Neurochemistry","DOI":"10.1111/j.1471-4159.2011.07432.x","ISSN":"0022-3042","issue":"2","journalAbbreviation":"J Neurochem","note":"PMID: 21848658\nPMCID: PMC3664422","page":"275-282","source":"PubMed Central","title":"Quality control parameters on a large dataset of regionally dissected human control brains for whole genome expression studies","volume":"119","author":[{"family":"Trabzuni","given":"Daniah"},{"family":"Ryten","given":"Mina"},{"family":"Walker","given":"Robert"},{"family":"Smith","given":"Colin"},{"family":"Imran","given":"Sabaena"},{"family":"Ramasamy","given":"Adaikalavan"},{"family":"Weale","given":"Michael E"},{"family":"Hardy","given":"John"}],"issued":{"date-parts":[["2011",10]]}}}],"schema":"https://github.com/citation-style-language/schema/raw/master/csl-citation.json"} </w:instrText>
      </w:r>
      <w:r w:rsidR="00064DAA" w:rsidRPr="002C2F74">
        <w:rPr>
          <w:rFonts w:eastAsiaTheme="minorEastAsia" w:cs="Times New Roman"/>
        </w:rPr>
        <w:fldChar w:fldCharType="separate"/>
      </w:r>
      <w:r w:rsidR="0009769C" w:rsidRPr="002C2F74">
        <w:rPr>
          <w:rFonts w:cs="Times New Roman"/>
        </w:rPr>
        <w:t>[22]</w:t>
      </w:r>
      <w:r w:rsidR="00064DAA" w:rsidRPr="002C2F74">
        <w:rPr>
          <w:rFonts w:eastAsiaTheme="minorEastAsia" w:cs="Times New Roman"/>
        </w:rPr>
        <w:fldChar w:fldCharType="end"/>
      </w:r>
      <w:r w:rsidR="00C368FB" w:rsidRPr="002C2F74">
        <w:rPr>
          <w:rFonts w:eastAsiaTheme="minorEastAsia" w:cs="Times New Roman"/>
        </w:rPr>
        <w:t xml:space="preserve">. Additionally, while our dataset provides significant improvements in transcript coverage, there may still be rare or low-abundance transcripts that remain undetected. Finally, functional validation of the newly identified transcripts and their roles in AD progression remains to be explored, and </w:t>
      </w:r>
      <w:r w:rsidRPr="002C2F74">
        <w:rPr>
          <w:rFonts w:eastAsiaTheme="minorEastAsia" w:cs="Times New Roman"/>
        </w:rPr>
        <w:t xml:space="preserve">hence </w:t>
      </w:r>
      <w:r w:rsidR="00C368FB" w:rsidRPr="002C2F74">
        <w:rPr>
          <w:rFonts w:eastAsiaTheme="minorEastAsia" w:cs="Times New Roman"/>
        </w:rPr>
        <w:t>further experimental studies will be needed to confirm their biological relevance.</w:t>
      </w:r>
    </w:p>
    <w:p w14:paraId="59277868" w14:textId="26A75C9B" w:rsidR="00C368FB" w:rsidRPr="002C2F74" w:rsidRDefault="00C368FB" w:rsidP="00C368FB">
      <w:pPr>
        <w:snapToGrid w:val="0"/>
        <w:spacing w:line="276" w:lineRule="auto"/>
        <w:ind w:firstLine="420"/>
        <w:rPr>
          <w:rFonts w:eastAsiaTheme="minorEastAsia" w:cs="Times New Roman"/>
        </w:rPr>
      </w:pPr>
      <w:r w:rsidRPr="002C2F74">
        <w:rPr>
          <w:rFonts w:eastAsiaTheme="minorEastAsia" w:cs="Times New Roman"/>
        </w:rPr>
        <w:t xml:space="preserve">In summary, our assembled transcriptomic dataset represents a significant advance in AD research, </w:t>
      </w:r>
      <w:r w:rsidR="0009438E" w:rsidRPr="002C2F74">
        <w:rPr>
          <w:rFonts w:eastAsiaTheme="minorEastAsia" w:cs="Times New Roman"/>
        </w:rPr>
        <w:t xml:space="preserve">enabling </w:t>
      </w:r>
      <w:r w:rsidRPr="002C2F74">
        <w:rPr>
          <w:rFonts w:eastAsiaTheme="minorEastAsia" w:cs="Times New Roman"/>
        </w:rPr>
        <w:t>new tools and insights that could enhance the understanding of disease mechanisms and improve the study of MCI and AD biology.</w:t>
      </w:r>
    </w:p>
    <w:p w14:paraId="1864C123" w14:textId="77777777" w:rsidR="008446B6" w:rsidRPr="002C2F74" w:rsidRDefault="008446B6" w:rsidP="00A163C1">
      <w:pPr>
        <w:snapToGrid w:val="0"/>
        <w:spacing w:line="276" w:lineRule="auto"/>
        <w:rPr>
          <w:rFonts w:eastAsiaTheme="minorEastAsia" w:cs="Times New Roman"/>
        </w:rPr>
      </w:pPr>
    </w:p>
    <w:p w14:paraId="57CFD955" w14:textId="1082D7A7" w:rsidR="00E6714E" w:rsidRPr="002C2F74" w:rsidRDefault="00E6714E" w:rsidP="00A163C1">
      <w:pPr>
        <w:snapToGrid w:val="0"/>
        <w:spacing w:line="276" w:lineRule="auto"/>
        <w:rPr>
          <w:rFonts w:eastAsiaTheme="minorEastAsia" w:cs="Times New Roman"/>
          <w:b/>
          <w:bCs/>
        </w:rPr>
      </w:pPr>
      <w:r w:rsidRPr="002C2F74">
        <w:rPr>
          <w:rFonts w:cs="Times New Roman"/>
          <w:b/>
          <w:bCs/>
        </w:rPr>
        <w:t xml:space="preserve">4. </w:t>
      </w:r>
      <w:r w:rsidR="00A163C1" w:rsidRPr="002C2F74">
        <w:rPr>
          <w:rFonts w:cs="Times New Roman"/>
          <w:b/>
          <w:bCs/>
        </w:rPr>
        <w:t>MATERIALS AND METHODS</w:t>
      </w:r>
    </w:p>
    <w:p w14:paraId="418D6AC0" w14:textId="4520465C" w:rsidR="008A75DA" w:rsidRPr="002C2F74" w:rsidRDefault="008A75DA" w:rsidP="00A163C1">
      <w:pPr>
        <w:snapToGrid w:val="0"/>
        <w:spacing w:line="276" w:lineRule="auto"/>
        <w:rPr>
          <w:rFonts w:cs="Times New Roman"/>
          <w:b/>
          <w:bCs/>
        </w:rPr>
      </w:pPr>
      <w:r w:rsidRPr="002C2F74">
        <w:rPr>
          <w:rFonts w:cs="Times New Roman"/>
          <w:b/>
          <w:bCs/>
        </w:rPr>
        <w:t xml:space="preserve">4.1 </w:t>
      </w:r>
      <w:r w:rsidR="00130CF1" w:rsidRPr="002C2F74">
        <w:rPr>
          <w:rFonts w:cs="Times New Roman"/>
          <w:b/>
          <w:bCs/>
        </w:rPr>
        <w:t xml:space="preserve">Data collection </w:t>
      </w:r>
    </w:p>
    <w:p w14:paraId="7BE8EFEE" w14:textId="1A59679A" w:rsidR="00720721" w:rsidRPr="002C2F74" w:rsidRDefault="008A75DA" w:rsidP="00720721">
      <w:pPr>
        <w:snapToGrid w:val="0"/>
        <w:spacing w:line="276" w:lineRule="auto"/>
        <w:ind w:firstLine="420"/>
        <w:rPr>
          <w:rFonts w:cs="Times New Roman"/>
        </w:rPr>
      </w:pPr>
      <w:r w:rsidRPr="002C2F74">
        <w:rPr>
          <w:rFonts w:cs="Times New Roman"/>
        </w:rPr>
        <w:t xml:space="preserve">The </w:t>
      </w:r>
      <w:r w:rsidR="00DD0685" w:rsidRPr="002C2F74">
        <w:rPr>
          <w:rFonts w:cs="Times New Roman"/>
        </w:rPr>
        <w:t>raw RNAseq data</w:t>
      </w:r>
      <w:r w:rsidRPr="002C2F74">
        <w:rPr>
          <w:rFonts w:cs="Times New Roman"/>
        </w:rPr>
        <w:t xml:space="preserve"> were obtained from the ROSMAP cohort</w:t>
      </w:r>
      <w:r w:rsidR="009D1CCA" w:rsidRPr="002C2F74">
        <w:rPr>
          <w:rFonts w:cs="Times New Roman"/>
        </w:rPr>
        <w:t xml:space="preserve"> </w:t>
      </w:r>
      <w:r w:rsidR="009D1CCA" w:rsidRPr="002C2F74">
        <w:rPr>
          <w:rFonts w:cs="Times New Roman"/>
        </w:rPr>
        <w:fldChar w:fldCharType="begin"/>
      </w:r>
      <w:r w:rsidR="00B54D73" w:rsidRPr="002C2F74">
        <w:rPr>
          <w:rFonts w:cs="Times New Roman"/>
        </w:rPr>
        <w:instrText xml:space="preserve"> ADDIN ZOTERO_ITEM CSL_CITATION {"citationID":"jTHZ5J4N","properties":{"formattedCitation":"[3]","plainCitation":"[3]","noteIndex":0},"citationItems":[{"id":4876,"uris":["http://zotero.org/users/5158171/items/3APBNG3C"],"itemData":{"id":4876,"type":"article-journal","abstract":"Background:\nThe Religious Orders Study and Rush Memory and Aging Project are both ongoing longitudinal clinical-pathologic cohort studies of aging and Alzheimer’s disease (AD).\n\nObjectives:\nTo summarize progress over the past five years and its implications for understanding neurodegenerative diseases.\n\nMethods:\nParticipants in both studies are older adults who enroll without dementia and agree to detailed longitudinal clinical evaluations and organ donation. The last review summarized findings through the end of 2011. Here we summarize progress and study findings over the past five years, and discuss new directions for how these studies can inform on aging and AD in the future.\n\nResults:\nWe summarize 1) findings on the relation of neurobiology to clinical AD; 2) neurobiologic pathways linking risk factors to clinical AD; 3) non-cognitive AD phenotypes including motor function and decision making; 4) the development of a novel drug discovery platform.\n\nConclusion:\nComplexity at multiple levels needs to be understood and overcome to develop effective treatments and preventions for cognitive decline and AD dementia.","container-title":"Journal of Alzheimer's disease : JAD","DOI":"10.3233/JAD-179939","ISSN":"1387-2877","issue":"Suppl 1","journalAbbreviation":"J Alzheimers Dis","note":"PMID: 29865057\nPMCID: PMC6380522","page":"S161-S189","source":"PubMed Central","title":"Religious Orders Study and Rush Memory and Aging Project","volume":"64","author":[{"family":"Bennett","given":"David A."},{"family":"Buchman","given":"Aron S."},{"family":"Boyle","given":"Patricia A."},{"family":"Barnes","given":"Lisa L."},{"family":"Wilson","given":"Robert S."},{"family":"Schneider","given":"Julie A"}],"issued":{"date-parts":[["2018"]]}}}],"schema":"https://github.com/citation-style-language/schema/raw/master/csl-citation.json"} </w:instrText>
      </w:r>
      <w:r w:rsidR="009D1CCA" w:rsidRPr="002C2F74">
        <w:rPr>
          <w:rFonts w:cs="Times New Roman"/>
        </w:rPr>
        <w:fldChar w:fldCharType="separate"/>
      </w:r>
      <w:r w:rsidR="00B54D73" w:rsidRPr="002C2F74">
        <w:rPr>
          <w:rFonts w:cs="Times New Roman"/>
        </w:rPr>
        <w:t>[3]</w:t>
      </w:r>
      <w:r w:rsidR="009D1CCA" w:rsidRPr="002C2F74">
        <w:rPr>
          <w:rFonts w:cs="Times New Roman"/>
        </w:rPr>
        <w:fldChar w:fldCharType="end"/>
      </w:r>
      <w:r w:rsidRPr="002C2F74">
        <w:rPr>
          <w:rFonts w:cs="Times New Roman"/>
        </w:rPr>
        <w:t xml:space="preserve">, consisting of </w:t>
      </w:r>
      <w:r w:rsidR="00D90FDD" w:rsidRPr="002C2F74">
        <w:rPr>
          <w:rFonts w:cs="Times New Roman"/>
        </w:rPr>
        <w:t>639</w:t>
      </w:r>
      <w:r w:rsidRPr="002C2F74">
        <w:rPr>
          <w:rFonts w:cs="Times New Roman"/>
        </w:rPr>
        <w:t xml:space="preserve"> samples. Based on the "Physician's overall cognitive diagnostic category" score, 529 samples (</w:t>
      </w:r>
      <w:proofErr w:type="spellStart"/>
      <w:r w:rsidRPr="002C2F74">
        <w:rPr>
          <w:rFonts w:cs="Times New Roman"/>
        </w:rPr>
        <w:t>cogdx</w:t>
      </w:r>
      <w:proofErr w:type="spellEnd"/>
      <w:r w:rsidRPr="002C2F74">
        <w:rPr>
          <w:rFonts w:cs="Times New Roman"/>
        </w:rPr>
        <w:t xml:space="preserve"> values of 1, 2, and 4) were selected, including 146 MCI </w:t>
      </w:r>
      <w:r w:rsidR="00BF4CF2" w:rsidRPr="002C2F74">
        <w:rPr>
          <w:rFonts w:cs="Times New Roman" w:hint="eastAsia"/>
        </w:rPr>
        <w:t>sample</w:t>
      </w:r>
      <w:r w:rsidRPr="002C2F74">
        <w:rPr>
          <w:rFonts w:cs="Times New Roman"/>
        </w:rPr>
        <w:t xml:space="preserve">s, 193 AD </w:t>
      </w:r>
      <w:r w:rsidR="00BF4CF2" w:rsidRPr="002C2F74">
        <w:rPr>
          <w:rFonts w:cs="Times New Roman"/>
        </w:rPr>
        <w:t>samples</w:t>
      </w:r>
      <w:r w:rsidRPr="002C2F74">
        <w:rPr>
          <w:rFonts w:cs="Times New Roman"/>
        </w:rPr>
        <w:t xml:space="preserve">, and 189 region-matched control samples. In addition, </w:t>
      </w:r>
      <w:r w:rsidR="00720721" w:rsidRPr="002C2F74">
        <w:rPr>
          <w:rFonts w:cs="Times New Roman"/>
        </w:rPr>
        <w:t>transcriptomic</w:t>
      </w:r>
      <w:r w:rsidRPr="002C2F74">
        <w:rPr>
          <w:rFonts w:cs="Times New Roman"/>
        </w:rPr>
        <w:t xml:space="preserve"> data from various brain regions in the MSBB cohort</w:t>
      </w:r>
      <w:r w:rsidR="009D1CCA" w:rsidRPr="002C2F74">
        <w:rPr>
          <w:rFonts w:cs="Times New Roman"/>
        </w:rPr>
        <w:t xml:space="preserve"> </w:t>
      </w:r>
      <w:r w:rsidR="009D1CCA" w:rsidRPr="002C2F74">
        <w:rPr>
          <w:rFonts w:cs="Times New Roman"/>
        </w:rPr>
        <w:fldChar w:fldCharType="begin"/>
      </w:r>
      <w:r w:rsidR="00B54D73" w:rsidRPr="002C2F74">
        <w:rPr>
          <w:rFonts w:cs="Times New Roman"/>
        </w:rPr>
        <w:instrText xml:space="preserve"> ADDIN ZOTERO_ITEM CSL_CITATION {"citationID":"trqFszoe","properties":{"formattedCitation":"[4]","plainCitation":"[4]","noteIndex":0},"citationItems":[{"id":1220,"uris":["http://zotero.org/users/5158171/items/GT9Q8FJQ"],"itemData":{"id":1220,"type":"article-journal","abstract":"Alzheimer’s disease (AD) affects half the US population over the age of 85 and is universally fatal following an average course of 10 years of progressive cognitive disability. Genetic and genome-wide association studies (GWAS) have identified about 33 risk factor genes for common, late-onset AD (LOAD), but these risk loci fail to account for the majority of affected cases and can neither provide clinically meaningful prediction of development of AD nor offer actionable mechanisms. This cohort study generated large-scale matched multi-Omics data in AD and control brains for exploring novel molecular underpinnings of AD. Specifically, we generated whole genome sequencing, whole exome sequencing, transcriptome sequencing and proteome profiling data from multiple regions of 364 postmortem control, mild cognitive impaired (MCI) and AD brains with rich clinical and pathophysiological data. All the data went through rigorous quality control. Both the raw and processed data are publicly a</w:instrText>
      </w:r>
      <w:r w:rsidR="00B54D73" w:rsidRPr="002C2F74">
        <w:rPr>
          <w:rFonts w:cs="Times New Roman" w:hint="eastAsia"/>
        </w:rPr>
        <w:instrText>vailable through the Synapse software platform.","container-title":"Scientific Data","DOI":"10.1038/sdata.2018.185","ISSN":"2052-4463","issue":"1","language":"en","license":"2018 The Author(s)","note":"</w:instrText>
      </w:r>
      <w:r w:rsidR="00B54D73" w:rsidRPr="002C2F74">
        <w:rPr>
          <w:rFonts w:cs="Times New Roman" w:hint="eastAsia"/>
        </w:rPr>
        <w:instrText>对应文献</w:instrText>
      </w:r>
      <w:r w:rsidR="00B54D73" w:rsidRPr="002C2F74">
        <w:rPr>
          <w:rFonts w:cs="Times New Roman" w:hint="eastAsia"/>
        </w:rPr>
        <w:instrText>","page":"180185","source":"www.nature.com","titl</w:instrText>
      </w:r>
      <w:r w:rsidR="00B54D73" w:rsidRPr="002C2F74">
        <w:rPr>
          <w:rFonts w:cs="Times New Roman"/>
        </w:rPr>
        <w:instrText xml:space="preserve">e":"The Mount Sinai cohort of large-scale genomic, transcriptomic and proteomic data in Alzheimer's disease","volume":"5","author":[{"family":"Wang","given":"Minghui"},{"family":"Beckmann","given":"Noam D."},{"family":"Roussos","given":"Panos"},{"family":"Wang","given":"Erming"},{"family":"Zhou","given":"Xianxiao"},{"family":"Wang","given":"Qian"},{"family":"Ming","given":"Chen"},{"family":"Neff","given":"Ryan"},{"family":"Ma","given":"Weiping"},{"family":"Fullard","given":"John F."},{"family":"Hauberg","given":"Mads E."},{"family":"Bendl","given":"Jaroslav"},{"family":"Peters","given":"Mette A."},{"family":"Logsdon","given":"Ben"},{"family":"Wang","given":"Pei"},{"family":"Mahajan","given":"Milind"},{"family":"Mangravite","given":"Lara M."},{"family":"Dammer","given":"Eric B."},{"family":"Duong","given":"Duc M."},{"family":"Lah","given":"James J."},{"family":"Seyfried","given":"Nicholas T."},{"family":"Levey","given":"Allan I."},{"family":"Buxbaum","given":"Joseph D."},{"family":"Ehrlich","given":"Michelle"},{"family":"Gandy","given":"Sam"},{"family":"Katsel","given":"Pavel"},{"family":"Haroutunian","given":"Vahram"},{"family":"Schadt","given":"Eric"},{"family":"Zhang","given":"Bin"}],"issued":{"date-parts":[["2018",9,11]]}}}],"schema":"https://github.com/citation-style-language/schema/raw/master/csl-citation.json"} </w:instrText>
      </w:r>
      <w:r w:rsidR="009D1CCA" w:rsidRPr="002C2F74">
        <w:rPr>
          <w:rFonts w:cs="Times New Roman"/>
        </w:rPr>
        <w:fldChar w:fldCharType="separate"/>
      </w:r>
      <w:r w:rsidR="00B54D73" w:rsidRPr="002C2F74">
        <w:rPr>
          <w:rFonts w:cs="Times New Roman"/>
        </w:rPr>
        <w:t>[4]</w:t>
      </w:r>
      <w:r w:rsidR="009D1CCA" w:rsidRPr="002C2F74">
        <w:rPr>
          <w:rFonts w:cs="Times New Roman"/>
        </w:rPr>
        <w:fldChar w:fldCharType="end"/>
      </w:r>
      <w:r w:rsidRPr="002C2F74">
        <w:rPr>
          <w:rFonts w:cs="Times New Roman"/>
        </w:rPr>
        <w:t xml:space="preserve"> and data from GSE95587 for the fusiform gyrus</w:t>
      </w:r>
      <w:r w:rsidR="009D1CCA" w:rsidRPr="002C2F74">
        <w:rPr>
          <w:rFonts w:cs="Times New Roman"/>
        </w:rPr>
        <w:t xml:space="preserve"> </w:t>
      </w:r>
      <w:r w:rsidR="009D1CCA" w:rsidRPr="002C2F74">
        <w:rPr>
          <w:rFonts w:cs="Times New Roman"/>
        </w:rPr>
        <w:fldChar w:fldCharType="begin"/>
      </w:r>
      <w:r w:rsidR="0004572E" w:rsidRPr="002C2F74">
        <w:rPr>
          <w:rFonts w:cs="Times New Roman"/>
        </w:rPr>
        <w:instrText xml:space="preserve"> ADDIN ZOTERO_ITEM CSL_CITATION {"citationID":"tuqjmGk6","properties":{"formattedCitation":"[5]","plainCitation":"[5]","noteIndex":0},"citationItems":[{"id":7003,"uris":["http://zotero.org/users/5158171/items/4JFBREBN"],"itemData":{"id":7003,"type":"article-journal","abstract":"Microglia, the CNS-resident immune cells, play important roles in disease, but the spectrum of their possible activation states is not well understood. We derived co-regulated gene modules from transcriptional profiles of CNS myeloid cells of diverse mouse models, including new tauopathy model datasets. Using these modules to interpret single-cell data from an Alzheimer's disease (AD) model, we identified microglial subsets-distinct from previously reported \"disease-associated microglia\"-expressing interferon-related or proliferation modules. We then analyzed whole-tissue RNA profiles from human neurodegenerative diseases, including a new AD dataset. Correcting for altered cellular composition of AD tissue, we observed elevated expression of the neurodegeneration-related modules, but also modules not implicated using expression profiles from mouse models alone. We provide a searchable, interactive database for exploring gene expression in all these datasets (http://research-pub.gene.com/BrainMyeloidLandscape). Understanding the dimensions of CNS myeloid cell activation in human disease may reveal opportunities for therapeutic intervention.","container-title":"Cell Reports","DOI":"10.1016/j.celrep.2017.12.066","ISSN":"2211-1247","issue":"3","journalAbbreviation":"Cell Rep","language":"eng","note":"PMID: 29346778","page":"832-847","source":"PubMed","title":"Diverse Brain Myeloid Expression Profiles Reveal Distinct Microglial Activation States and Aspects of Alzheimer's Disease Not Evident in Mouse Models","volume":"22","author":[{"family":"Friedman","given":"Brad A."},{"family":"Srinivasan","given":"Karpagam"},{"family":"Ayalon","given":"Gai"},{"family":"Meilandt","given":"William J."},{"family":"Lin","given":"Han"},{"family":"Huntley","given":"Melanie A."},{"family":"Cao","given":"Yi"},{"family":"Lee","given":"Seung-Hye"},{"family":"Haddick","given":"Patrick C. G."},{"family":"Ngu","given":"Hai"},{"family":"Modrusan","given":"Zora"},{"family":"Larson","given":"Jessica L."},{"family":"Kaminker","given":"Joshua S."},{"family":"Brug","given":"Marcel P.","non-dropping-particle":"van der"},{"family":"Hansen","given":"David V."}],"issued":{"date-parts":[["2018",1,16]]}}}],"schema":"https://github.com/citation-style-language/schema/raw/master/csl-citation.json"} </w:instrText>
      </w:r>
      <w:r w:rsidR="009D1CCA" w:rsidRPr="002C2F74">
        <w:rPr>
          <w:rFonts w:cs="Times New Roman"/>
        </w:rPr>
        <w:fldChar w:fldCharType="separate"/>
      </w:r>
      <w:r w:rsidR="00B54D73" w:rsidRPr="002C2F74">
        <w:rPr>
          <w:rFonts w:cs="Times New Roman"/>
        </w:rPr>
        <w:t>[5]</w:t>
      </w:r>
      <w:r w:rsidR="009D1CCA" w:rsidRPr="002C2F74">
        <w:rPr>
          <w:rFonts w:cs="Times New Roman"/>
        </w:rPr>
        <w:fldChar w:fldCharType="end"/>
      </w:r>
      <w:r w:rsidR="00720721" w:rsidRPr="002C2F74">
        <w:rPr>
          <w:rFonts w:cs="Times New Roman"/>
        </w:rPr>
        <w:t xml:space="preserve"> were used in this study for identification of differently expressed transcripts.</w:t>
      </w:r>
    </w:p>
    <w:p w14:paraId="69452C74" w14:textId="4B09782A" w:rsidR="008A75DA" w:rsidRPr="002C2F74" w:rsidRDefault="008A75DA" w:rsidP="00A163C1">
      <w:pPr>
        <w:snapToGrid w:val="0"/>
        <w:spacing w:line="276" w:lineRule="auto"/>
        <w:ind w:firstLine="420"/>
        <w:rPr>
          <w:rFonts w:cs="Times New Roman"/>
        </w:rPr>
      </w:pPr>
      <w:r w:rsidRPr="002C2F74">
        <w:rPr>
          <w:rFonts w:cs="Times New Roman"/>
        </w:rPr>
        <w:t xml:space="preserve">Clinical staging in the MSBB cohort was based on the Clinical Dementia Rating (CDR), while </w:t>
      </w:r>
      <w:r w:rsidR="00720721" w:rsidRPr="002C2F74">
        <w:rPr>
          <w:rFonts w:cs="Times New Roman"/>
        </w:rPr>
        <w:t xml:space="preserve">that in </w:t>
      </w:r>
      <w:r w:rsidRPr="002C2F74">
        <w:rPr>
          <w:rFonts w:cs="Times New Roman"/>
        </w:rPr>
        <w:t xml:space="preserve">the GSE95587 data </w:t>
      </w:r>
      <w:r w:rsidR="00720721" w:rsidRPr="002C2F74">
        <w:rPr>
          <w:rFonts w:cs="Times New Roman"/>
        </w:rPr>
        <w:t xml:space="preserve">is based on </w:t>
      </w:r>
      <w:r w:rsidRPr="002C2F74">
        <w:rPr>
          <w:rFonts w:cs="Times New Roman"/>
        </w:rPr>
        <w:t>the Braak staging system. Detailed information on the reassembled samples is provided in Table S</w:t>
      </w:r>
      <w:r w:rsidR="00E2764B" w:rsidRPr="002C2F74">
        <w:rPr>
          <w:rFonts w:cs="Times New Roman"/>
        </w:rPr>
        <w:t>6</w:t>
      </w:r>
      <w:r w:rsidRPr="002C2F74">
        <w:rPr>
          <w:rFonts w:cs="Times New Roman"/>
        </w:rPr>
        <w:t>.</w:t>
      </w:r>
    </w:p>
    <w:p w14:paraId="4012AD6A" w14:textId="77777777" w:rsidR="008E3C7C" w:rsidRPr="002C2F74" w:rsidRDefault="008E3C7C" w:rsidP="00A163C1">
      <w:pPr>
        <w:snapToGrid w:val="0"/>
        <w:spacing w:line="276" w:lineRule="auto"/>
        <w:rPr>
          <w:rStyle w:val="src"/>
          <w:rFonts w:eastAsiaTheme="minorEastAsia" w:cs="Times New Roman"/>
          <w:color w:val="000000" w:themeColor="text1"/>
          <w:shd w:val="clear" w:color="auto" w:fill="FFFFFF"/>
        </w:rPr>
      </w:pPr>
    </w:p>
    <w:p w14:paraId="78FCEA81" w14:textId="77777777" w:rsidR="00E6714E" w:rsidRPr="002C2F74" w:rsidRDefault="00E6714E" w:rsidP="00A163C1">
      <w:pPr>
        <w:snapToGrid w:val="0"/>
        <w:spacing w:line="276" w:lineRule="auto"/>
        <w:rPr>
          <w:rFonts w:cs="Times New Roman"/>
          <w:b/>
          <w:bCs/>
        </w:rPr>
      </w:pPr>
      <w:r w:rsidRPr="002C2F74">
        <w:rPr>
          <w:rFonts w:cs="Times New Roman"/>
          <w:b/>
          <w:bCs/>
        </w:rPr>
        <w:t>4.2. Methods</w:t>
      </w:r>
    </w:p>
    <w:p w14:paraId="4FF29DFF" w14:textId="537E0BFB" w:rsidR="00DC07BC" w:rsidRPr="002C2F74" w:rsidRDefault="00DC07BC" w:rsidP="00A163C1">
      <w:pPr>
        <w:snapToGrid w:val="0"/>
        <w:spacing w:line="276" w:lineRule="auto"/>
        <w:rPr>
          <w:rFonts w:eastAsiaTheme="minorEastAsia" w:cs="Times New Roman"/>
          <w:b/>
          <w:bCs/>
        </w:rPr>
      </w:pPr>
      <w:r w:rsidRPr="002C2F74">
        <w:rPr>
          <w:rFonts w:eastAsiaTheme="minorEastAsia" w:cs="Times New Roman"/>
          <w:b/>
          <w:bCs/>
        </w:rPr>
        <w:t xml:space="preserve">4.2.1 </w:t>
      </w:r>
      <w:r w:rsidR="00130CF1" w:rsidRPr="002C2F74">
        <w:rPr>
          <w:rFonts w:eastAsiaTheme="minorEastAsia" w:cs="Times New Roman" w:hint="eastAsia"/>
          <w:b/>
          <w:bCs/>
        </w:rPr>
        <w:t>Q</w:t>
      </w:r>
      <w:r w:rsidR="00130CF1" w:rsidRPr="002C2F74">
        <w:rPr>
          <w:rFonts w:eastAsiaTheme="minorEastAsia" w:cs="Times New Roman"/>
          <w:b/>
          <w:bCs/>
        </w:rPr>
        <w:t>uality control and preprocessing</w:t>
      </w:r>
    </w:p>
    <w:p w14:paraId="53F05DAD" w14:textId="2830D9AE" w:rsidR="0026199D" w:rsidRPr="002C2F74" w:rsidRDefault="00DC07BC" w:rsidP="00A163C1">
      <w:pPr>
        <w:snapToGrid w:val="0"/>
        <w:spacing w:line="276" w:lineRule="auto"/>
        <w:ind w:firstLine="420"/>
        <w:rPr>
          <w:rFonts w:eastAsiaTheme="minorEastAsia" w:cs="Times New Roman"/>
        </w:rPr>
      </w:pPr>
      <w:r w:rsidRPr="002C2F74">
        <w:rPr>
          <w:rFonts w:eastAsiaTheme="minorEastAsia" w:cs="Times New Roman"/>
        </w:rPr>
        <w:t>To ensure high</w:t>
      </w:r>
      <w:r w:rsidR="00720721" w:rsidRPr="002C2F74">
        <w:rPr>
          <w:rFonts w:eastAsiaTheme="minorEastAsia" w:cs="Times New Roman"/>
        </w:rPr>
        <w:t xml:space="preserve"> data </w:t>
      </w:r>
      <w:r w:rsidRPr="002C2F74">
        <w:rPr>
          <w:rFonts w:eastAsiaTheme="minorEastAsia" w:cs="Times New Roman"/>
        </w:rPr>
        <w:t xml:space="preserve">quality, we filtered </w:t>
      </w:r>
      <w:r w:rsidR="00720721" w:rsidRPr="002C2F74">
        <w:rPr>
          <w:rFonts w:eastAsiaTheme="minorEastAsia" w:cs="Times New Roman"/>
        </w:rPr>
        <w:t xml:space="preserve">out </w:t>
      </w:r>
      <w:r w:rsidRPr="002C2F74">
        <w:rPr>
          <w:rFonts w:eastAsiaTheme="minorEastAsia" w:cs="Times New Roman"/>
        </w:rPr>
        <w:t xml:space="preserve">low-quality reads from samples in the DLPC brain region of the ROSMAP cohort, resulting in approximately 2.11 </w:t>
      </w:r>
      <w:r w:rsidR="00741395" w:rsidRPr="002C2F74">
        <w:rPr>
          <w:rFonts w:eastAsiaTheme="minorEastAsia" w:cs="Times New Roman"/>
        </w:rPr>
        <w:t>TB</w:t>
      </w:r>
      <w:r w:rsidRPr="002C2F74">
        <w:rPr>
          <w:rFonts w:eastAsiaTheme="minorEastAsia" w:cs="Times New Roman"/>
        </w:rPr>
        <w:t xml:space="preserve"> clean bases. </w:t>
      </w:r>
      <w:r w:rsidR="00720721" w:rsidRPr="002C2F74">
        <w:rPr>
          <w:rFonts w:eastAsiaTheme="minorEastAsia" w:cs="Times New Roman"/>
        </w:rPr>
        <w:t>Specifically, f</w:t>
      </w:r>
      <w:r w:rsidRPr="002C2F74">
        <w:rPr>
          <w:rFonts w:eastAsiaTheme="minorEastAsia" w:cs="Times New Roman"/>
        </w:rPr>
        <w:t xml:space="preserve">or each sample, at least 90% of the reads were required to have a quality score </w:t>
      </w:r>
      <w:r w:rsidR="00720721" w:rsidRPr="002C2F74">
        <w:rPr>
          <w:rFonts w:eastAsiaTheme="minorEastAsia" w:cs="Times New Roman"/>
        </w:rPr>
        <w:t xml:space="preserve">at least </w:t>
      </w:r>
      <w:r w:rsidRPr="002C2F74">
        <w:rPr>
          <w:rFonts w:eastAsiaTheme="minorEastAsia" w:cs="Times New Roman"/>
        </w:rPr>
        <w:t xml:space="preserve">Q30 (error rate ≤ 0.1%). </w:t>
      </w:r>
      <w:proofErr w:type="spellStart"/>
      <w:r w:rsidRPr="002C2F74">
        <w:rPr>
          <w:rFonts w:eastAsiaTheme="minorEastAsia" w:cs="Times New Roman"/>
        </w:rPr>
        <w:t>SOAPnuke</w:t>
      </w:r>
      <w:proofErr w:type="spellEnd"/>
      <w:r w:rsidR="00720721" w:rsidRPr="002C2F74">
        <w:rPr>
          <w:rFonts w:eastAsiaTheme="minorEastAsia" w:cs="Times New Roman"/>
        </w:rPr>
        <w:t xml:space="preserve"> </w:t>
      </w:r>
      <w:r w:rsidRPr="002C2F74">
        <w:rPr>
          <w:rFonts w:eastAsiaTheme="minorEastAsia" w:cs="Times New Roman"/>
        </w:rPr>
        <w:t>was used to filter out reads with GC distribution fluctuations exceeding 10%</w:t>
      </w:r>
      <w:r w:rsidR="00720721" w:rsidRPr="002C2F74">
        <w:rPr>
          <w:rFonts w:eastAsiaTheme="minorEastAsia" w:cs="Times New Roman"/>
        </w:rPr>
        <w:t xml:space="preserve"> </w:t>
      </w:r>
      <w:r w:rsidR="00720721" w:rsidRPr="002C2F74">
        <w:rPr>
          <w:rFonts w:cs="Times New Roman"/>
          <w:shd w:val="clear" w:color="auto" w:fill="FFFFFF"/>
        </w:rPr>
        <w:fldChar w:fldCharType="begin"/>
      </w:r>
      <w:r w:rsidR="0009769C" w:rsidRPr="002C2F74">
        <w:rPr>
          <w:rFonts w:cs="Times New Roman"/>
          <w:shd w:val="clear" w:color="auto" w:fill="FFFFFF"/>
        </w:rPr>
        <w:instrText xml:space="preserve"> ADDIN ZOTERO_ITEM CSL_CITATION {"citationID":"ieqmUChz","properties":{"formattedCitation":"[23]","plainCitation":"[23]","noteIndex":0},"citationItems":[{"id":2191,"uris":["http://zotero.org/users/5158171/items/UWSVXXQ4"],"itemData":{"id":2191,"type":"article-journal","abstract":"Quality control (QC) and preprocessing are essential steps for sequencing data analysis to ensure the accuracy of results. However, existing tools cannot provide a satisfying solution with integrated comprehensive functions, proper architectures, and highly scalable acceleration. In this article, we demonstrate SOAPnuke as a tool with abundant functions for a “QC-Preprocess-QC” workflow and MapReduce acceleration framework. Four modules with different preprocessing functions are designed for processing datasets from genomic, small RNA, Digital Gene Expression, and metagenomic experiments, respectively. As a workflow-like tool, SOAPnuke centralizes processing functions into 1 executable and predefines their order to avoid the necessity of reformatting different files when switching tools. Furthermore, the MapReduce framework enables large scalability to distribute all the processing works to an entire compute cluster.We conducted a benchmarking where SOAPnuke and other tools are used to preprocess a </w:instrText>
      </w:r>
      <w:r w:rsidR="0009769C" w:rsidRPr="002C2F74">
        <w:rPr>
          <w:rFonts w:ascii="Cambria Math" w:hAnsi="Cambria Math" w:cs="Cambria Math"/>
          <w:shd w:val="clear" w:color="auto" w:fill="FFFFFF"/>
        </w:rPr>
        <w:instrText>∼</w:instrText>
      </w:r>
      <w:r w:rsidR="0009769C" w:rsidRPr="002C2F74">
        <w:rPr>
          <w:rFonts w:cs="Times New Roman"/>
          <w:shd w:val="clear" w:color="auto" w:fill="FFFFFF"/>
        </w:rPr>
        <w:instrText xml:space="preserve">30× NA12878 dataset published by GIAB. The standalone operation of SOAPnuke struck a balance between resource occupancy and performance. When accelerated on 16 working nodes with MapReduce, SOAPnuke achieved </w:instrText>
      </w:r>
      <w:r w:rsidR="0009769C" w:rsidRPr="002C2F74">
        <w:rPr>
          <w:rFonts w:ascii="Cambria Math" w:hAnsi="Cambria Math" w:cs="Cambria Math"/>
          <w:shd w:val="clear" w:color="auto" w:fill="FFFFFF"/>
        </w:rPr>
        <w:instrText>∼</w:instrText>
      </w:r>
      <w:r w:rsidR="0009769C" w:rsidRPr="002C2F74">
        <w:rPr>
          <w:rFonts w:cs="Times New Roman"/>
          <w:shd w:val="clear" w:color="auto" w:fill="FFFFFF"/>
        </w:rPr>
        <w:instrText xml:space="preserve">5.7 times the fastest speed of other tools.","container-title":"GigaScience","DOI":"10.1093/gigascience/gix120","ISSN":"2047-217X","issue":"1","note":"_eprint: https://academic.oup.com/gigascience/article-pdf/7/1/gix120/24620478/gix120.pdf","title":"SOAPnuke: a MapReduce acceleration-supported software for integrated quality control and preprocessing of high-throughput sequencing data","URL":"https://doi.org/10.1093/gigascience/gix120","volume":"7","author":[{"family":"Chen","given":"Yuxin"},{"family":"Chen","given":"Yongsheng"},{"family":"Shi","given":"Chunmei"},{"family":"Huang","given":"Zhibo"},{"family":"Zhang","given":"Yong"},{"family":"Li","given":"Shengkang"},{"family":"Li","given":"Yan"},{"family":"Ye","given":"Jia"},{"family":"Yu","given":"Chang"},{"family":"Li","given":"Zhuo"},{"family":"Zhang","given":"Xiuqing"},{"family":"Wang","given":"Jian"},{"family":"Yang","given":"Huanming"},{"family":"Fang","given":"Lin"},{"family":"Chen","given":"Qiang"}],"issued":{"date-parts":[["2017",12]]}}}],"schema":"https://github.com/citation-style-language/schema/raw/master/csl-citation.json"} </w:instrText>
      </w:r>
      <w:r w:rsidR="00720721" w:rsidRPr="002C2F74">
        <w:rPr>
          <w:rFonts w:cs="Times New Roman"/>
          <w:shd w:val="clear" w:color="auto" w:fill="FFFFFF"/>
        </w:rPr>
        <w:fldChar w:fldCharType="separate"/>
      </w:r>
      <w:r w:rsidR="0009769C" w:rsidRPr="002C2F74">
        <w:rPr>
          <w:rFonts w:cs="Times New Roman"/>
        </w:rPr>
        <w:t>[23]</w:t>
      </w:r>
      <w:r w:rsidR="00720721" w:rsidRPr="002C2F74">
        <w:rPr>
          <w:rFonts w:cs="Times New Roman"/>
          <w:shd w:val="clear" w:color="auto" w:fill="FFFFFF"/>
        </w:rPr>
        <w:fldChar w:fldCharType="end"/>
      </w:r>
      <w:r w:rsidRPr="002C2F74">
        <w:rPr>
          <w:rFonts w:eastAsiaTheme="minorEastAsia" w:cs="Times New Roman"/>
        </w:rPr>
        <w:t>. Clean reads were mapped to the rRNA database using RSEQC</w:t>
      </w:r>
      <w:r w:rsidR="00E57B9F" w:rsidRPr="002C2F74">
        <w:rPr>
          <w:rFonts w:eastAsiaTheme="minorEastAsia" w:cs="Times New Roman"/>
        </w:rPr>
        <w:t xml:space="preserve"> </w:t>
      </w:r>
      <w:r w:rsidR="00E57B9F" w:rsidRPr="002C2F74">
        <w:rPr>
          <w:rFonts w:eastAsiaTheme="minorEastAsia" w:cs="Times New Roman"/>
        </w:rPr>
        <w:fldChar w:fldCharType="begin"/>
      </w:r>
      <w:r w:rsidR="0009769C" w:rsidRPr="002C2F74">
        <w:rPr>
          <w:rFonts w:eastAsiaTheme="minorEastAsia" w:cs="Times New Roman"/>
        </w:rPr>
        <w:instrText xml:space="preserve"> ADDIN ZOTERO_ITEM CSL_CITATION {"citationID":"CHOGUs6P","properties":{"formattedCitation":"[24]","plainCitation":"[24]","noteIndex":0},"citationItems":[{"id":6984,"uris":["http://zotero.org/users/5158171/items/759ZXTH5"],"itemData":{"id":6984,"type":"article-journal","abstract":"Motivation: RNA-seq has been extensively used for transcriptome study. Quality control (QC) is critical to ensure that RNA-seq data are of high quality and suitable for subsequent analyses. However, QC is a time-consuming and complex task, due to the massive size and versatile nature of RNA-seq data. Therefore, a convenient and comprehensive QC tool to assess RNA-seq quality is sorely needed.Results: We developed the RSeQC package to comprehensively evaluate different aspects of RNA-seq experiments, such as sequence quality, GC bias, polymerase chain reaction bias, nucleotide composition bias, sequencing depth, strand specificity, coverage uniformity and read distribution over the genome structure. RSeQC takes both SAM and BAM files as input, which can be produced by most RNA-seq mapping tools as well as BED files, which are widely used for gene models. Most modules in RSeQC take advantage of R scripts for visualization, and they are notably efficient in dealing with large BAM/SAM files containing hundreds of millions of alignments.Availability and implementation: RSeQC is written in Python and C. Source code and a comprehensive user's manual are freely available at: http://code.google.com/p/rseqc/.Contact:  WL1@bcm.eduSupplementary Information:  Supplementary data are available at Bioinformatics online.","container-title":"Bioinformatics","DOI":"10.1093/bioinformatics/bts356","ISSN":"1367-4803","issue":"16","journalAbbreviation":"Bioinformatics","page":"2184-2185","source":"Silverchair","title":"RSeQC: quality control of RNA-seq experiments","title-short":"RSeQC","volume":"28","author":[{"family":"Wang","given":"Liguo"},{"family":"Wang","given":"Shengqin"},{"family":"Li","given":"Wei"}],"issued":{"date-parts":[["2012",8,15]]}}}],"schema":"https://github.com/citation-style-language/schema/raw/master/csl-citation.json"} </w:instrText>
      </w:r>
      <w:r w:rsidR="00E57B9F" w:rsidRPr="002C2F74">
        <w:rPr>
          <w:rFonts w:eastAsiaTheme="minorEastAsia" w:cs="Times New Roman"/>
        </w:rPr>
        <w:fldChar w:fldCharType="separate"/>
      </w:r>
      <w:r w:rsidR="0009769C" w:rsidRPr="002C2F74">
        <w:rPr>
          <w:rFonts w:cs="Times New Roman"/>
        </w:rPr>
        <w:t>[24]</w:t>
      </w:r>
      <w:r w:rsidR="00E57B9F" w:rsidRPr="002C2F74">
        <w:rPr>
          <w:rFonts w:eastAsiaTheme="minorEastAsia" w:cs="Times New Roman"/>
        </w:rPr>
        <w:fldChar w:fldCharType="end"/>
      </w:r>
      <w:r w:rsidRPr="002C2F74">
        <w:rPr>
          <w:rFonts w:eastAsiaTheme="minorEastAsia" w:cs="Times New Roman"/>
        </w:rPr>
        <w:t xml:space="preserve"> to remove rRNA-derived reads. Sequencing randomness and gene saturation were also </w:t>
      </w:r>
      <w:r w:rsidR="00720721" w:rsidRPr="002C2F74">
        <w:rPr>
          <w:rFonts w:eastAsiaTheme="minorEastAsia" w:cs="Times New Roman"/>
        </w:rPr>
        <w:t xml:space="preserve">identified and filtered out </w:t>
      </w:r>
      <w:r w:rsidRPr="002C2F74">
        <w:rPr>
          <w:rFonts w:eastAsiaTheme="minorEastAsia" w:cs="Times New Roman"/>
        </w:rPr>
        <w:t>using RSEQC.</w:t>
      </w:r>
    </w:p>
    <w:p w14:paraId="08BFDDD4" w14:textId="77777777" w:rsidR="00A163C1" w:rsidRPr="002C2F74" w:rsidRDefault="00A163C1" w:rsidP="00A163C1">
      <w:pPr>
        <w:snapToGrid w:val="0"/>
        <w:spacing w:line="276" w:lineRule="auto"/>
        <w:ind w:firstLine="420"/>
        <w:rPr>
          <w:rFonts w:eastAsiaTheme="minorEastAsia" w:cs="Times New Roman"/>
        </w:rPr>
      </w:pPr>
    </w:p>
    <w:p w14:paraId="0B18C956" w14:textId="31D17609" w:rsidR="00DC07BC" w:rsidRPr="002C2F74" w:rsidRDefault="00DC07BC" w:rsidP="00A163C1">
      <w:pPr>
        <w:snapToGrid w:val="0"/>
        <w:spacing w:line="276" w:lineRule="auto"/>
        <w:rPr>
          <w:rFonts w:eastAsiaTheme="minorEastAsia" w:cs="Times New Roman"/>
          <w:b/>
          <w:bCs/>
        </w:rPr>
      </w:pPr>
      <w:r w:rsidRPr="002C2F74">
        <w:rPr>
          <w:rFonts w:eastAsiaTheme="minorEastAsia" w:cs="Times New Roman"/>
          <w:b/>
          <w:bCs/>
        </w:rPr>
        <w:t xml:space="preserve">4.2.2 </w:t>
      </w:r>
      <w:r w:rsidR="00130CF1" w:rsidRPr="002C2F74">
        <w:rPr>
          <w:rFonts w:eastAsiaTheme="minorEastAsia" w:cs="Times New Roman"/>
          <w:b/>
          <w:bCs/>
        </w:rPr>
        <w:t xml:space="preserve">Genome </w:t>
      </w:r>
      <w:r w:rsidR="00406C25" w:rsidRPr="002C2F74">
        <w:rPr>
          <w:rFonts w:eastAsiaTheme="minorEastAsia" w:cs="Times New Roman"/>
          <w:b/>
          <w:bCs/>
        </w:rPr>
        <w:t>mapping</w:t>
      </w:r>
      <w:r w:rsidR="00130CF1" w:rsidRPr="002C2F74">
        <w:rPr>
          <w:rFonts w:eastAsiaTheme="minorEastAsia" w:cs="Times New Roman"/>
          <w:b/>
          <w:bCs/>
        </w:rPr>
        <w:t>, transcript assembly, and quantification</w:t>
      </w:r>
    </w:p>
    <w:p w14:paraId="0A74BD90" w14:textId="5085D22D" w:rsidR="008E3C7C" w:rsidRPr="002C2F74" w:rsidRDefault="00DC07BC" w:rsidP="00A163C1">
      <w:pPr>
        <w:snapToGrid w:val="0"/>
        <w:spacing w:line="276" w:lineRule="auto"/>
        <w:ind w:firstLine="420"/>
        <w:rPr>
          <w:rFonts w:eastAsiaTheme="minorEastAsia" w:cs="Times New Roman"/>
        </w:rPr>
      </w:pPr>
      <w:r w:rsidRPr="002C2F74">
        <w:rPr>
          <w:rFonts w:eastAsiaTheme="minorEastAsia" w:cs="Times New Roman"/>
        </w:rPr>
        <w:t xml:space="preserve">After quality control, the remaining reads were aligned to the </w:t>
      </w:r>
      <w:r w:rsidR="00406C25" w:rsidRPr="002C2F74">
        <w:rPr>
          <w:rFonts w:eastAsiaTheme="minorEastAsia" w:cs="Times New Roman"/>
        </w:rPr>
        <w:t xml:space="preserve">reference </w:t>
      </w:r>
      <w:r w:rsidRPr="002C2F74">
        <w:rPr>
          <w:rFonts w:eastAsiaTheme="minorEastAsia" w:cs="Times New Roman"/>
        </w:rPr>
        <w:t xml:space="preserve">human genome (GENCODE version 34) using HISAT2 (version 2.7) </w:t>
      </w:r>
      <w:r w:rsidR="002E3171" w:rsidRPr="002C2F74">
        <w:rPr>
          <w:rFonts w:cs="Times New Roman"/>
        </w:rPr>
        <w:fldChar w:fldCharType="begin"/>
      </w:r>
      <w:r w:rsidR="0009769C" w:rsidRPr="002C2F74">
        <w:rPr>
          <w:rFonts w:cs="Times New Roman"/>
        </w:rPr>
        <w:instrText xml:space="preserve"> ADDIN ZOTERO_ITEM CSL_CITATION {"citationID":"nW7Wrpyw","properties":{"formattedCitation":"[25]","plainCitation":"[25]","noteIndex":0},"citationItems":[{"id":5988,"uris":["http://zotero.org/users/5158171/items/7N4RRZQR"],"itemData":{"id":5988,"type":"article-journal","abstract":"Sequencing technologies using nucleotide conversion techniques such as cytosine to thymine in bisulfite-seq and thymine to cytosine in SLAM seq are powerful tools to explore the chemical intricacies of cellular processes. To date, no one has developed a unified methodology for aligning converted sequences and consolidating alignment of these technologies in one package. In this paper, we describe hierarchical indexing for spliced alignment of transcripts–3 nucleotides (HISAT-3N), which can rapidly and accurately align sequences consisting of any nucleotide conversion by leveraging the powerful hierarchical index and repeat index algorithms originally developed for the HISAT software. Tests on real and simulated data sets show that HISAT-3N is faster than other modern systems, with greater alignment accuracy, higher scalability, and smaller memory requirements. HISAT-3N therefore becomes an ideal aligner when used with converted sequence technologies.","container-title":"Genome Research","DOI":"10.1101/gr.275193.120","ISSN":"1088-9051, 1549-5469","issue":"7","journalAbbreviation":"Genome Res.","language":"en","note":"Company: Cold Spring Harbor Laboratory Press\nDistributor: Cold Spring Harbor Laboratory Press\nInstitution: Cold Spring Harbor Laboratory Press\nLabel: Cold Spring Harbor Laboratory Press\npublisher: Cold Spring Harbor Lab\nPMID: 34103331","page":"1290-1295","source":"genome.cshlp.org","title":"Rapid and accurate alignment of nucleotide conversion sequencing reads with HISAT-3N","volume":"31","author":[{"family":"Zhang","given":"Yun"},{"family":"Park","given":"Chanhee"},{"family":"Bennett","given":"Christopher"},{"family":"Thornton","given":"Micah"},{"family":"Kim","given":"Daehwan"}],"issued":{"date-parts":[["2021",1,7]]}}}],"schema":"https://github.com/citation-style-language/schema/raw/master/csl-citation.json"} </w:instrText>
      </w:r>
      <w:r w:rsidR="002E3171" w:rsidRPr="002C2F74">
        <w:rPr>
          <w:rFonts w:cs="Times New Roman"/>
        </w:rPr>
        <w:fldChar w:fldCharType="separate"/>
      </w:r>
      <w:r w:rsidR="0009769C" w:rsidRPr="002C2F74">
        <w:rPr>
          <w:rFonts w:cs="Times New Roman"/>
        </w:rPr>
        <w:t>[25]</w:t>
      </w:r>
      <w:r w:rsidR="002E3171" w:rsidRPr="002C2F74">
        <w:rPr>
          <w:rFonts w:cs="Times New Roman"/>
        </w:rPr>
        <w:fldChar w:fldCharType="end"/>
      </w:r>
      <w:r w:rsidR="002E3171" w:rsidRPr="002C2F74">
        <w:rPr>
          <w:rFonts w:cs="Times New Roman"/>
        </w:rPr>
        <w:t xml:space="preserve"> </w:t>
      </w:r>
      <w:r w:rsidRPr="002C2F74">
        <w:rPr>
          <w:rFonts w:eastAsiaTheme="minorEastAsia" w:cs="Times New Roman"/>
        </w:rPr>
        <w:t xml:space="preserve">with default parameters. </w:t>
      </w:r>
      <w:proofErr w:type="spellStart"/>
      <w:r w:rsidRPr="002C2F74">
        <w:rPr>
          <w:rFonts w:eastAsiaTheme="minorEastAsia" w:cs="Times New Roman"/>
        </w:rPr>
        <w:t>String</w:t>
      </w:r>
      <w:r w:rsidR="00F22305">
        <w:rPr>
          <w:rFonts w:eastAsiaTheme="minorEastAsia" w:cs="Times New Roman"/>
        </w:rPr>
        <w:t>T</w:t>
      </w:r>
      <w:r w:rsidRPr="002C2F74">
        <w:rPr>
          <w:rFonts w:eastAsiaTheme="minorEastAsia" w:cs="Times New Roman"/>
        </w:rPr>
        <w:t>ie</w:t>
      </w:r>
      <w:proofErr w:type="spellEnd"/>
      <w:r w:rsidRPr="002C2F74">
        <w:rPr>
          <w:rFonts w:eastAsiaTheme="minorEastAsia" w:cs="Times New Roman"/>
        </w:rPr>
        <w:t xml:space="preserve"> was used to assemble transcripts</w:t>
      </w:r>
      <w:r w:rsidR="002E3171" w:rsidRPr="002C2F74">
        <w:rPr>
          <w:rFonts w:cs="Times New Roman"/>
        </w:rPr>
        <w:t xml:space="preserve"> </w:t>
      </w:r>
      <w:r w:rsidR="002E3171" w:rsidRPr="002C2F74">
        <w:rPr>
          <w:rFonts w:cs="Times New Roman"/>
        </w:rPr>
        <w:fldChar w:fldCharType="begin"/>
      </w:r>
      <w:r w:rsidR="0009769C" w:rsidRPr="002C2F74">
        <w:rPr>
          <w:rFonts w:cs="Times New Roman"/>
        </w:rPr>
        <w:instrText xml:space="preserve"> ADDIN ZOTERO_ITEM CSL_CITATION {"citationID":"HBJa3DvV","properties":{"formattedCitation":"[26]","plainCitation":"[26]","noteIndex":0},"citationItems":[{"id":5538,"uris":["http://zotero.org/users/5158171/items/L2AFACIF"],"itemData":{"id":5538,"type":"article-journal","abstract":"Short-read RNA sequencing and long-read RNA sequencing each have their strengths and weaknesses for transcriptome assembly. While short reads are highly accurate, they are rarely able to span multiple exons. Long-read technology can capture full-length transcripts, but its relatively high error rate often leads to mis-identified splice sites. Here we present a new release of StringTie that performs hybrid-read assembly. By taking advantage of the strengths of both long and short reads, hybrid-read assembly with StringTie is more accurate than long-read only or short-read only assembly, and on some datasets it can more than double the number of correctly assembled transcripts, while obtaining substantially higher precision than the long-read data assembly alone. Here we demonstrate the improved accuracy on simulated data and real data from Arabidopsis thaliana, Mus musculus, and human. We also show that hybrid-read assembly is more accurate than correcting long reads prior to assembly while also being substantially faster. StringTie is freely available as open source software at https://github.com/gpertea/stringtie.","container-title":"PLOS Computational Biology","DOI":"10.1371/journal.pcbi.1009730","ISSN":"1553-7358","issue":"6","journalAbbreviation":"PLOS Computational Biology","language":"en","note":"publisher: Public Library of Science","page":"e1009730","source":"PLoS Journals","title":"Improved transcriptome assembly using a hybrid of long and short reads with StringTie","volume":"18","author":[{"family":"Shumate","given":"Alaina"},{"family":"Wong","given":"Brandon"},{"family":"Pertea","given":"Geo"},{"family":"Pertea","given":"Mihaela"}],"issued":{"date-parts":[["2022",6,1]]}}}],"schema":"https://github.com/citation-style-language/schema/raw/master/csl-citation.json"} </w:instrText>
      </w:r>
      <w:r w:rsidR="002E3171" w:rsidRPr="002C2F74">
        <w:rPr>
          <w:rFonts w:cs="Times New Roman"/>
        </w:rPr>
        <w:fldChar w:fldCharType="separate"/>
      </w:r>
      <w:r w:rsidR="0009769C" w:rsidRPr="002C2F74">
        <w:rPr>
          <w:rFonts w:cs="Times New Roman"/>
        </w:rPr>
        <w:t>[26]</w:t>
      </w:r>
      <w:r w:rsidR="002E3171" w:rsidRPr="002C2F74">
        <w:rPr>
          <w:rFonts w:cs="Times New Roman"/>
        </w:rPr>
        <w:fldChar w:fldCharType="end"/>
      </w:r>
      <w:r w:rsidRPr="002C2F74">
        <w:rPr>
          <w:rFonts w:eastAsiaTheme="minorEastAsia" w:cs="Times New Roman"/>
        </w:rPr>
        <w:t xml:space="preserve">, and the "merge" option was applied to unify all output files into a single transcriptome. </w:t>
      </w:r>
      <w:proofErr w:type="spellStart"/>
      <w:r w:rsidRPr="002C2F74">
        <w:rPr>
          <w:rFonts w:eastAsiaTheme="minorEastAsia" w:cs="Times New Roman"/>
        </w:rPr>
        <w:t>Gffcompare</w:t>
      </w:r>
      <w:proofErr w:type="spellEnd"/>
      <w:r w:rsidRPr="002C2F74">
        <w:rPr>
          <w:rFonts w:eastAsiaTheme="minorEastAsia" w:cs="Times New Roman"/>
        </w:rPr>
        <w:t xml:space="preserve"> </w:t>
      </w:r>
      <w:r w:rsidR="004B3D64" w:rsidRPr="002C2F74">
        <w:rPr>
          <w:rFonts w:eastAsiaTheme="minorEastAsia" w:cs="Times New Roman"/>
        </w:rPr>
        <w:fldChar w:fldCharType="begin"/>
      </w:r>
      <w:r w:rsidR="004B3D64" w:rsidRPr="002C2F74">
        <w:rPr>
          <w:rFonts w:eastAsiaTheme="minorEastAsia" w:cs="Times New Roman"/>
        </w:rPr>
        <w:instrText xml:space="preserve"> ADDIN ZOTERO_ITEM CSL_CITATION {"citationID":"hIJTxQyf","properties":{"formattedCitation":"[27]","plainCitation":"[27]","noteIndex":0},"citationItems":[{"id":143,"uris":["http://zotero.org/users/5158171/items/PF8P3QUP"],"itemData":{"id":143,"type":"article-journal","abstract":"Summary: GTF (Gene Transfer Format) and GFF (General Feature Format) are popular file formats used by bioinformatics programs to represent and exchange information about various genomic features, such as gene and transcript locations and structure. GffRead and GffCompare are open source programs that provide extensive and efficient solutions to manipulate files in a GTF or GFF format. While GffRead can convert, sort, filter, transform, or cluster genomic features, GffCompare can be used to compare and merge different gene annotations., \nAvailability and implementation: GFF utilities are implemented in C++ for Linux and OS X and released as open source under an MIT license  (\nhttps://github.com/gpertea/gffread,\nhttps://github.com</w:instrText>
      </w:r>
      <w:r w:rsidR="004B3D64" w:rsidRPr="002C2F74">
        <w:rPr>
          <w:rFonts w:eastAsiaTheme="minorEastAsia" w:cs="Times New Roman" w:hint="eastAsia"/>
        </w:rPr>
        <w:instrText xml:space="preserve">/gpertea/gffcompare).","container-title":"F1000Research","DOI":"10.12688/f1000research.23297.1","ISSN":"2046-1402","journalAbbreviation":"F1000Res","note":"gffcompare </w:instrText>
      </w:r>
      <w:r w:rsidR="004B3D64" w:rsidRPr="002C2F74">
        <w:rPr>
          <w:rFonts w:eastAsiaTheme="minorEastAsia" w:cs="Times New Roman" w:hint="eastAsia"/>
        </w:rPr>
        <w:instrText>说明文档（注释文件说明）</w:instrText>
      </w:r>
      <w:r w:rsidR="004B3D64" w:rsidRPr="002C2F74">
        <w:rPr>
          <w:rFonts w:eastAsiaTheme="minorEastAsia" w:cs="Times New Roman" w:hint="eastAsia"/>
        </w:rPr>
        <w:instrText>","source":"PubMed Central","title":"GFF Utilities: GffRead and GffCompare",</w:instrText>
      </w:r>
      <w:r w:rsidR="004B3D64" w:rsidRPr="002C2F74">
        <w:rPr>
          <w:rFonts w:eastAsiaTheme="minorEastAsia" w:cs="Times New Roman"/>
        </w:rPr>
        <w:instrText xml:space="preserve">"title-short":"GFF Utilities","URL":"https://www.ncbi.nlm.nih.gov/pmc/articles/PMC7222033/","volume":"9","author":[{"family":"Pertea","given":"Geo"},{"family":"Pertea","given":"Mihaela"}],"accessed":{"date-parts":[["2020",8,16]]},"issued":{"date-parts":[["2020",4,28]]}}}],"schema":"https://github.com/citation-style-language/schema/raw/master/csl-citation.json"} </w:instrText>
      </w:r>
      <w:r w:rsidR="004B3D64" w:rsidRPr="002C2F74">
        <w:rPr>
          <w:rFonts w:eastAsiaTheme="minorEastAsia" w:cs="Times New Roman"/>
        </w:rPr>
        <w:fldChar w:fldCharType="separate"/>
      </w:r>
      <w:r w:rsidR="004B3D64" w:rsidRPr="002C2F74">
        <w:rPr>
          <w:rFonts w:cs="Times New Roman"/>
        </w:rPr>
        <w:t>[27]</w:t>
      </w:r>
      <w:r w:rsidR="004B3D64" w:rsidRPr="002C2F74">
        <w:rPr>
          <w:rFonts w:eastAsiaTheme="minorEastAsia" w:cs="Times New Roman"/>
        </w:rPr>
        <w:fldChar w:fldCharType="end"/>
      </w:r>
      <w:r w:rsidR="00E007C3" w:rsidRPr="002C2F74">
        <w:rPr>
          <w:rFonts w:eastAsiaTheme="minorEastAsia" w:cs="Times New Roman"/>
        </w:rPr>
        <w:t xml:space="preserve"> </w:t>
      </w:r>
      <w:r w:rsidRPr="002C2F74">
        <w:rPr>
          <w:rFonts w:eastAsiaTheme="minorEastAsia" w:cs="Times New Roman"/>
        </w:rPr>
        <w:t>was used to compare the assembled transcriptome (in GTF format) with reference annotations to obtain the genomic location of each transcript. Transcript expression levels were quantified in transcripts per million (TPM) using Ballgown</w:t>
      </w:r>
      <w:r w:rsidR="002E3171" w:rsidRPr="002C2F74">
        <w:rPr>
          <w:rFonts w:eastAsiaTheme="minorEastAsia" w:cs="Times New Roman"/>
        </w:rPr>
        <w:t xml:space="preserve"> </w:t>
      </w:r>
      <w:r w:rsidR="002E3171" w:rsidRPr="002C2F74">
        <w:rPr>
          <w:rFonts w:eastAsiaTheme="minorEastAsia" w:cs="Times New Roman"/>
        </w:rPr>
        <w:fldChar w:fldCharType="begin"/>
      </w:r>
      <w:r w:rsidR="004B3D64" w:rsidRPr="002C2F74">
        <w:rPr>
          <w:rFonts w:eastAsiaTheme="minorEastAsia" w:cs="Times New Roman"/>
        </w:rPr>
        <w:instrText xml:space="preserve"> ADDIN ZOTERO_ITEM CSL_CITATION {"citationID":"bpyQsIfE","properties":{"formattedCitation":"[28]","plainCitation":"[28]","noteIndex":0},"citationItems":[{"id":1842,"uris":["http://zotero.org/users/5158171/items/YJ9A3L33"],"itemData":{"id":1842,"type":"article-journal","container-title":"Nature biotechnology","DOI":"10.1038/nbt.3172","ISSN":"1087-0156","issue":"3","journalAbbreviation":"Nat Biotechnol","note":"PMID: 25748911\nPMCID: PMC4792117","page":"243-246","source":"PubMed Central","title":"Ballgown bridges the gap between transcriptome assembly and expression analysis","volume":"33","author":[{"family":"Frazee","given":"Alyssa C"},{"family":"Pertea","given":"Geo"},{"family":"Jaffe","given":"Andrew E"},{"family":"Langmead","given":"Ben"},{"family":"Salzberg","given":"Steven L"},{"family":"Leek","given":"Jeffrey T"}],"issued":{"date-parts":[["2015",3]]}}}],"schema":"https://github.com/citation-style-language/schema/raw/master/csl-citation.json"} </w:instrText>
      </w:r>
      <w:r w:rsidR="002E3171" w:rsidRPr="002C2F74">
        <w:rPr>
          <w:rFonts w:eastAsiaTheme="minorEastAsia" w:cs="Times New Roman"/>
        </w:rPr>
        <w:fldChar w:fldCharType="separate"/>
      </w:r>
      <w:r w:rsidR="004B3D64" w:rsidRPr="002C2F74">
        <w:rPr>
          <w:rFonts w:cs="Times New Roman"/>
        </w:rPr>
        <w:t>[28]</w:t>
      </w:r>
      <w:r w:rsidR="002E3171" w:rsidRPr="002C2F74">
        <w:rPr>
          <w:rFonts w:eastAsiaTheme="minorEastAsia" w:cs="Times New Roman"/>
        </w:rPr>
        <w:fldChar w:fldCharType="end"/>
      </w:r>
      <w:r w:rsidRPr="002C2F74">
        <w:rPr>
          <w:rFonts w:eastAsiaTheme="minorEastAsia" w:cs="Times New Roman"/>
        </w:rPr>
        <w:t>. The genome FASTA file and the annotation of the assembled transcripts are available in Data S</w:t>
      </w:r>
      <w:r w:rsidR="00E2764B" w:rsidRPr="002C2F74">
        <w:rPr>
          <w:rFonts w:eastAsiaTheme="minorEastAsia" w:cs="Times New Roman"/>
        </w:rPr>
        <w:t>1</w:t>
      </w:r>
      <w:r w:rsidRPr="002C2F74">
        <w:rPr>
          <w:rFonts w:eastAsiaTheme="minorEastAsia" w:cs="Times New Roman"/>
        </w:rPr>
        <w:t>.</w:t>
      </w:r>
    </w:p>
    <w:p w14:paraId="04F91EB3" w14:textId="77777777" w:rsidR="00A163C1" w:rsidRPr="002C2F74" w:rsidRDefault="00A163C1" w:rsidP="00A163C1">
      <w:pPr>
        <w:snapToGrid w:val="0"/>
        <w:spacing w:line="276" w:lineRule="auto"/>
        <w:ind w:firstLine="420"/>
        <w:rPr>
          <w:rFonts w:eastAsiaTheme="minorEastAsia" w:cs="Times New Roman"/>
        </w:rPr>
      </w:pPr>
    </w:p>
    <w:p w14:paraId="7C286DB8" w14:textId="7FF2D3DF" w:rsidR="001F0877" w:rsidRPr="002C2F74" w:rsidRDefault="001F0877" w:rsidP="00A163C1">
      <w:pPr>
        <w:snapToGrid w:val="0"/>
        <w:spacing w:line="276" w:lineRule="auto"/>
        <w:rPr>
          <w:rFonts w:eastAsiaTheme="minorEastAsia" w:cs="Times New Roman"/>
          <w:b/>
          <w:bCs/>
        </w:rPr>
      </w:pPr>
      <w:r w:rsidRPr="002C2F74">
        <w:rPr>
          <w:rFonts w:eastAsiaTheme="minorEastAsia" w:cs="Times New Roman"/>
          <w:b/>
          <w:bCs/>
        </w:rPr>
        <w:t xml:space="preserve">4.2.3 </w:t>
      </w:r>
      <w:r w:rsidR="00130CF1" w:rsidRPr="002C2F74">
        <w:rPr>
          <w:rFonts w:eastAsiaTheme="minorEastAsia" w:cs="Times New Roman"/>
          <w:b/>
          <w:bCs/>
        </w:rPr>
        <w:t xml:space="preserve">Identification and classification of </w:t>
      </w:r>
      <w:proofErr w:type="spellStart"/>
      <w:r w:rsidR="00367857" w:rsidRPr="002C2F74">
        <w:rPr>
          <w:rFonts w:eastAsiaTheme="minorEastAsia" w:cs="Times New Roman"/>
          <w:b/>
          <w:bCs/>
        </w:rPr>
        <w:t>lncRNA</w:t>
      </w:r>
      <w:r w:rsidR="00130CF1" w:rsidRPr="002C2F74">
        <w:rPr>
          <w:rFonts w:eastAsiaTheme="minorEastAsia" w:cs="Times New Roman"/>
          <w:b/>
          <w:bCs/>
        </w:rPr>
        <w:t>s</w:t>
      </w:r>
      <w:proofErr w:type="spellEnd"/>
    </w:p>
    <w:p w14:paraId="36061352" w14:textId="0850CD93" w:rsidR="001F0877" w:rsidRPr="002C2F74" w:rsidRDefault="001F0877" w:rsidP="00A163C1">
      <w:pPr>
        <w:snapToGrid w:val="0"/>
        <w:spacing w:line="276" w:lineRule="auto"/>
        <w:ind w:firstLine="420"/>
        <w:rPr>
          <w:rFonts w:eastAsiaTheme="minorEastAsia" w:cs="Times New Roman"/>
        </w:rPr>
      </w:pPr>
      <w:r w:rsidRPr="002C2F74">
        <w:rPr>
          <w:rFonts w:eastAsiaTheme="minorEastAsia" w:cs="Times New Roman"/>
        </w:rPr>
        <w:t xml:space="preserve">To identify lncRNA </w:t>
      </w:r>
      <w:r w:rsidR="00367857" w:rsidRPr="002C2F74">
        <w:rPr>
          <w:rFonts w:eastAsiaTheme="minorEastAsia" w:cs="Times New Roman"/>
        </w:rPr>
        <w:t>genes</w:t>
      </w:r>
      <w:r w:rsidRPr="002C2F74">
        <w:rPr>
          <w:rFonts w:eastAsiaTheme="minorEastAsia" w:cs="Times New Roman"/>
        </w:rPr>
        <w:t xml:space="preserve">, we employed a two-step approach involving protein-coding potential evaluation followed by </w:t>
      </w:r>
      <w:r w:rsidR="00367857" w:rsidRPr="002C2F74">
        <w:rPr>
          <w:rFonts w:eastAsiaTheme="minorEastAsia" w:cs="Times New Roman"/>
        </w:rPr>
        <w:t xml:space="preserve">lncRNA </w:t>
      </w:r>
      <w:r w:rsidRPr="002C2F74">
        <w:rPr>
          <w:rFonts w:eastAsiaTheme="minorEastAsia" w:cs="Times New Roman"/>
        </w:rPr>
        <w:t>classification.</w:t>
      </w:r>
    </w:p>
    <w:p w14:paraId="222004C9" w14:textId="10F5CCF0" w:rsidR="001F0877" w:rsidRPr="002C2F74" w:rsidRDefault="001F0877" w:rsidP="00A163C1">
      <w:pPr>
        <w:snapToGrid w:val="0"/>
        <w:spacing w:line="276" w:lineRule="auto"/>
        <w:ind w:firstLine="420"/>
        <w:rPr>
          <w:rFonts w:eastAsiaTheme="minorEastAsia" w:cs="Times New Roman"/>
        </w:rPr>
      </w:pPr>
      <w:r w:rsidRPr="002C2F74">
        <w:rPr>
          <w:rFonts w:eastAsiaTheme="minorEastAsia" w:cs="Times New Roman"/>
          <w:b/>
          <w:bCs/>
        </w:rPr>
        <w:t xml:space="preserve">Step 1: </w:t>
      </w:r>
      <w:r w:rsidR="00130CF1" w:rsidRPr="002C2F74">
        <w:rPr>
          <w:rFonts w:eastAsiaTheme="minorEastAsia" w:cs="Times New Roman"/>
          <w:b/>
          <w:bCs/>
        </w:rPr>
        <w:t>Protein-coding potential evaluation</w:t>
      </w:r>
      <w:r w:rsidRPr="002C2F74">
        <w:rPr>
          <w:rFonts w:eastAsiaTheme="minorEastAsia" w:cs="Times New Roman"/>
          <w:b/>
          <w:bCs/>
        </w:rPr>
        <w:t>.</w:t>
      </w:r>
      <w:r w:rsidRPr="002C2F74">
        <w:rPr>
          <w:rFonts w:eastAsiaTheme="minorEastAsia" w:cs="Times New Roman"/>
        </w:rPr>
        <w:t xml:space="preserve"> Transcripts were initially filtered based on length and exon count, with only transcripts </w:t>
      </w:r>
      <w:r w:rsidR="0071271D" w:rsidRPr="002C2F74">
        <w:rPr>
          <w:rFonts w:eastAsiaTheme="minorEastAsia" w:cs="Times New Roman" w:hint="eastAsia"/>
        </w:rPr>
        <w:t>consisting</w:t>
      </w:r>
      <w:r w:rsidR="0071271D" w:rsidRPr="002C2F74">
        <w:rPr>
          <w:rFonts w:eastAsiaTheme="minorEastAsia" w:cs="Times New Roman"/>
        </w:rPr>
        <w:t xml:space="preserve"> of at least</w:t>
      </w:r>
      <w:r w:rsidRPr="002C2F74">
        <w:rPr>
          <w:rFonts w:eastAsiaTheme="minorEastAsia" w:cs="Times New Roman"/>
        </w:rPr>
        <w:t xml:space="preserve"> 200 nucleotides and </w:t>
      </w:r>
      <w:r w:rsidR="0071271D" w:rsidRPr="002C2F74">
        <w:rPr>
          <w:rFonts w:eastAsiaTheme="minorEastAsia" w:cs="Times New Roman"/>
        </w:rPr>
        <w:t xml:space="preserve">having </w:t>
      </w:r>
      <w:r w:rsidRPr="002C2F74">
        <w:rPr>
          <w:rFonts w:eastAsiaTheme="minorEastAsia" w:cs="Times New Roman"/>
        </w:rPr>
        <w:t xml:space="preserve">two exons </w:t>
      </w:r>
      <w:r w:rsidR="0071271D" w:rsidRPr="002C2F74">
        <w:rPr>
          <w:rFonts w:eastAsiaTheme="minorEastAsia" w:cs="Times New Roman"/>
        </w:rPr>
        <w:t xml:space="preserve">or more </w:t>
      </w:r>
      <w:r w:rsidRPr="002C2F74">
        <w:rPr>
          <w:rFonts w:eastAsiaTheme="minorEastAsia" w:cs="Times New Roman"/>
        </w:rPr>
        <w:t>retained for further analys</w:t>
      </w:r>
      <w:r w:rsidR="0071271D" w:rsidRPr="002C2F74">
        <w:rPr>
          <w:rFonts w:eastAsiaTheme="minorEastAsia" w:cs="Times New Roman"/>
        </w:rPr>
        <w:t>e</w:t>
      </w:r>
      <w:r w:rsidRPr="002C2F74">
        <w:rPr>
          <w:rFonts w:eastAsiaTheme="minorEastAsia" w:cs="Times New Roman"/>
        </w:rPr>
        <w:t>s</w:t>
      </w:r>
      <w:r w:rsidR="00D078F4" w:rsidRPr="002C2F74">
        <w:rPr>
          <w:rFonts w:eastAsiaTheme="minorEastAsia" w:cs="Times New Roman"/>
        </w:rPr>
        <w:t xml:space="preserve"> </w:t>
      </w:r>
      <w:r w:rsidR="00D078F4" w:rsidRPr="002C2F74">
        <w:rPr>
          <w:rFonts w:eastAsiaTheme="minorEastAsia" w:cs="Times New Roman"/>
        </w:rPr>
        <w:fldChar w:fldCharType="begin"/>
      </w:r>
      <w:r w:rsidR="004B3D64" w:rsidRPr="002C2F74">
        <w:rPr>
          <w:rFonts w:eastAsiaTheme="minorEastAsia" w:cs="Times New Roman"/>
        </w:rPr>
        <w:instrText xml:space="preserve"> ADDIN ZOTERO_ITEM CSL_CITATION {"citationID":"hcxJ983h","properties":{"formattedCitation":"[29]","plainCitation":"[29]","noteIndex":0},"citationItems":[{"id":5029,"uris":["http://zotero.org/users/5158171/items/M4NT99ZY"],"itemData":{"id":5029,"type":"article-journal","abstract":"Osteosarcoma (OS) is a primary bone tumor with high malignancy and the mechanism of hematogenous metastasis in OS is still not clear. The plasma exosomes derived from osteosarcoma play a key role in the process of tumor metastasis. Here, we established RNA-seq dataset for lncRNAs, circRNAs and mRNAs in plasma exosomes from 10 OS patients and 5 healthy donors. A total of 329.52 Gb of clean data was obtained. Besides, 1754 lincRNAs, 7096 known and 1935 new circRNA was identified. Finally, gene expression profiles and differentially expressed genes (DEGs) were analyzed among these 15 samples. There were 331 DEGs of mRNA, 132 of lincRNA and 489 of circRNA was obtained, respectively. This data set provides a significant resource for relevant researchers to excavate potential dysregulated lncRNAs, circRNAs and mRNAs of plasma exosomes in OS versus normal conditions.","container-title":"Scientific Data","DOI":"10.1038/s41597-023-02295-9","ISSN":"2052-4463","issue":"1","journalAbbreviation":"Sci Data","language":"en","license":"2023 The Author(s)","note":"number: 1\npublisher: Nature Publishing Group","page":"395","source":"www.nature.com","title":"Long non-coding RNA and circular RNA and coding RNA profiling of plasma exosomes of osteosarcoma by RNA seq","volume":"10","author":[{"family":"Liu","given":"Yun"},{"family":"Tang","given":"Haijun"},{"family":"Li","given":"Chong"},{"family":"Huang","given":"Nenggan"},{"family":"Miao","given":"Jifeng"},{"family":"Chen","given":"Lin"},{"family":"Luo","given":"Kai"},{"family":"Li","given":"Feicui"},{"family":"Liu","given":"Shangyu"},{"family":"Liao","given":"Shijie"},{"family":"Feng","given":"Wenyu"},{"family":"Zhan","given":"Xinli"},{"family":"Xie","given":"Tianyu"},{"family":"Tang","given":"Wei"},{"family":"Wei","given":"Qingjun"},{"family":"Lu","given":"Jili"}],"issued":{"date-parts":[["2023",6,22]]}}}],"schema":"https://github.com/citation-style-language/schema/raw/master/csl-citation.json"} </w:instrText>
      </w:r>
      <w:r w:rsidR="00D078F4" w:rsidRPr="002C2F74">
        <w:rPr>
          <w:rFonts w:eastAsiaTheme="minorEastAsia" w:cs="Times New Roman"/>
        </w:rPr>
        <w:fldChar w:fldCharType="separate"/>
      </w:r>
      <w:r w:rsidR="004B3D64" w:rsidRPr="002C2F74">
        <w:rPr>
          <w:rFonts w:cs="Times New Roman"/>
        </w:rPr>
        <w:t>[29]</w:t>
      </w:r>
      <w:r w:rsidR="00D078F4" w:rsidRPr="002C2F74">
        <w:rPr>
          <w:rFonts w:eastAsiaTheme="minorEastAsia" w:cs="Times New Roman"/>
        </w:rPr>
        <w:fldChar w:fldCharType="end"/>
      </w:r>
      <w:r w:rsidRPr="002C2F74">
        <w:rPr>
          <w:rFonts w:eastAsiaTheme="minorEastAsia" w:cs="Times New Roman"/>
        </w:rPr>
        <w:t>. Their protein-coding potential was assessed using five computational methods: CNCI</w:t>
      </w:r>
      <w:r w:rsidR="00D078F4" w:rsidRPr="002C2F74">
        <w:rPr>
          <w:rFonts w:eastAsiaTheme="minorEastAsia" w:cs="Times New Roman"/>
        </w:rPr>
        <w:t xml:space="preserve"> </w:t>
      </w:r>
      <w:r w:rsidR="00D078F4" w:rsidRPr="002C2F74">
        <w:rPr>
          <w:rStyle w:val="src"/>
          <w:rFonts w:cs="Times New Roman"/>
          <w:color w:val="000000" w:themeColor="text1"/>
          <w:shd w:val="clear" w:color="auto" w:fill="FFFFFF"/>
        </w:rPr>
        <w:fldChar w:fldCharType="begin"/>
      </w:r>
      <w:r w:rsidR="004B3D64" w:rsidRPr="002C2F74">
        <w:rPr>
          <w:rStyle w:val="src"/>
          <w:rFonts w:cs="Times New Roman"/>
          <w:color w:val="000000" w:themeColor="text1"/>
          <w:shd w:val="clear" w:color="auto" w:fill="FFFFFF"/>
        </w:rPr>
        <w:instrText xml:space="preserve"> ADDIN ZOTERO_ITEM CSL_CITATION {"citationID":"xg1OWNEI","properties":{"formattedCitation":"[30]","plainCitation":"[30]","noteIndex":0},"citationItems":[{"id":1151,"uris":["http://zotero.org/users/5158171/items/P8BATKWG"],"itemData":{"id":1151,"type":"article-journal","abstract":"Long noncoding RNA (lncRNA) is a kind of noncoding RNA with length more than 200 nucleotides, which aroused interest of people in recent years. Lots of studies have confirmed that human genome contains many thousands of lncRNAs which exert great influence over some critical regulators of cellular process. With the advent of high-throughput sequencing technologies, a great quantity of sequences is waiting for exploitation. Thus, many programs are developed to distinguish differences between coding and long noncoding transcripts. Different programs are generally designed to be utilised under different circumstances and it is sensible and practical to select an appropriate method according to a certain situation. In this review, several popular methods and their advantages, disadvantages, and application scopes are summarised to assist people in employing a suitable method and obtaining a more reliable result.","container-title":"BioMed Research International","DOI":"10.1155/2016/84</w:instrText>
      </w:r>
      <w:r w:rsidR="004B3D64" w:rsidRPr="002C2F74">
        <w:rPr>
          <w:rStyle w:val="src"/>
          <w:rFonts w:cs="Times New Roman" w:hint="eastAsia"/>
          <w:color w:val="000000" w:themeColor="text1"/>
          <w:shd w:val="clear" w:color="auto" w:fill="FFFFFF"/>
        </w:rPr>
        <w:instrText xml:space="preserve">96165","ISSN":"2314-6133","journalAbbreviation":"Biomed Res Int","note":"lncRNA </w:instrText>
      </w:r>
      <w:r w:rsidR="004B3D64" w:rsidRPr="002C2F74">
        <w:rPr>
          <w:rStyle w:val="src"/>
          <w:rFonts w:cs="Times New Roman" w:hint="eastAsia"/>
          <w:color w:val="000000" w:themeColor="text1"/>
          <w:shd w:val="clear" w:color="auto" w:fill="FFFFFF"/>
        </w:rPr>
        <w:instrText>评估</w:instrText>
      </w:r>
      <w:r w:rsidR="004B3D64" w:rsidRPr="002C2F74">
        <w:rPr>
          <w:rStyle w:val="src"/>
          <w:rFonts w:cs="Times New Roman" w:hint="eastAsia"/>
          <w:color w:val="000000" w:themeColor="text1"/>
          <w:shd w:val="clear" w:color="auto" w:fill="FFFFFF"/>
        </w:rPr>
        <w:instrText>","source":"PubMed Central","title":"Long Noncoding RNA Identification: Comparing Machine Learning Based Tools for Long Noncoding Transcripts Discrimination","title-short":"</w:instrText>
      </w:r>
      <w:r w:rsidR="004B3D64" w:rsidRPr="002C2F74">
        <w:rPr>
          <w:rStyle w:val="src"/>
          <w:rFonts w:cs="Times New Roman"/>
          <w:color w:val="000000" w:themeColor="text1"/>
          <w:shd w:val="clear" w:color="auto" w:fill="FFFFFF"/>
        </w:rPr>
        <w:instrText xml:space="preserve">Long Noncoding RNA Identification","URL":"https://www.ncbi.nlm.nih.gov/pmc/articles/PMC5153550/","volume":"2016","author":[{"family":"Han","given":"Siyu"},{"family":"Liang","given":"Yanchun"},{"family":"Li","given":"Ying"},{"family":"Du","given":"Wei"}],"accessed":{"date-parts":[["2020",7,22]]},"issued":{"date-parts":[["2016"]]}}}],"schema":"https://github.com/citation-style-language/schema/raw/master/csl-citation.json"} </w:instrText>
      </w:r>
      <w:r w:rsidR="00D078F4" w:rsidRPr="002C2F74">
        <w:rPr>
          <w:rStyle w:val="src"/>
          <w:rFonts w:cs="Times New Roman"/>
          <w:color w:val="000000" w:themeColor="text1"/>
          <w:shd w:val="clear" w:color="auto" w:fill="FFFFFF"/>
        </w:rPr>
        <w:fldChar w:fldCharType="separate"/>
      </w:r>
      <w:r w:rsidR="004B3D64" w:rsidRPr="002C2F74">
        <w:rPr>
          <w:rFonts w:cs="Times New Roman"/>
        </w:rPr>
        <w:t>[30]</w:t>
      </w:r>
      <w:r w:rsidR="00D078F4" w:rsidRPr="002C2F74">
        <w:rPr>
          <w:rStyle w:val="src"/>
          <w:rFonts w:cs="Times New Roman"/>
          <w:color w:val="000000" w:themeColor="text1"/>
          <w:shd w:val="clear" w:color="auto" w:fill="FFFFFF"/>
        </w:rPr>
        <w:fldChar w:fldCharType="end"/>
      </w:r>
      <w:r w:rsidRPr="002C2F74">
        <w:rPr>
          <w:rFonts w:eastAsiaTheme="minorEastAsia" w:cs="Times New Roman"/>
        </w:rPr>
        <w:t>, CPAT</w:t>
      </w:r>
      <w:r w:rsidR="00D078F4" w:rsidRPr="002C2F74">
        <w:rPr>
          <w:rStyle w:val="src"/>
          <w:rFonts w:eastAsiaTheme="minorEastAsia" w:cs="Times New Roman"/>
          <w:color w:val="000000" w:themeColor="text1"/>
          <w:shd w:val="clear" w:color="auto" w:fill="FFFFFF"/>
        </w:rPr>
        <w:t xml:space="preserve"> </w:t>
      </w:r>
      <w:r w:rsidR="00D078F4" w:rsidRPr="002C2F74">
        <w:rPr>
          <w:rStyle w:val="src"/>
          <w:rFonts w:cs="Times New Roman"/>
          <w:color w:val="000000" w:themeColor="text1"/>
          <w:shd w:val="clear" w:color="auto" w:fill="FFFFFF"/>
        </w:rPr>
        <w:fldChar w:fldCharType="begin"/>
      </w:r>
      <w:r w:rsidR="004B3D64" w:rsidRPr="002C2F74">
        <w:rPr>
          <w:rStyle w:val="src"/>
          <w:rFonts w:cs="Times New Roman"/>
          <w:color w:val="000000" w:themeColor="text1"/>
          <w:shd w:val="clear" w:color="auto" w:fill="FFFFFF"/>
        </w:rPr>
        <w:instrText xml:space="preserve"> ADDIN ZOTERO_ITEM CSL_CITATION {"citationID":"65fg4UEb","properties":{"formattedCitation":"[31]","plainCitation":"[31]","noteIndex":0},"citationItems":[{"id":1153,"uris":["http://zotero.org/users/5158171/items/E9RB9KTF"],"itemData":{"id":1153,"type":"article-journal","abstract":"Thousands of novel transcripts have been identified using deep transcriptome sequencing. This discovery of large and ‘hidden’ transcriptome rejuvenates the demand for methods that can rapidly distinguish between coding and noncoding RNA. Here, we present a novel alignment-free method, Coding Potential Assessment Tool (CPAT), which rapidly recognizes coding and noncoding transcripts from a large pool of candidates. To this end, CPAT uses a logistic regression model built with four sequence features: open reading frame size, open reading frame coverage, Fickett TESTCODE statistic and hexamer usage bias. CPAT software outperformed (sensitivity: 0.96, specificity: 0.97) other state-of-the-art alignment-based software such as Coding-Potential Calculator (sensitivity: 0.99, specificity: 0.74) and Phylo Codon Substitution Frequencies (sensitivity: 0.90, specificity: 0.63). In addition to high accuracy, CPAT is approximately four orders of magnitude faster than Coding-Potential Calculator and Phylo Codon Substitution Frequencies, enabling its users to process thousands of transcripts within seconds. The software accepts input sequences in either FASTA- or BED-formatted data files. We also developed a web interface for CPAT that allows us</w:instrText>
      </w:r>
      <w:r w:rsidR="004B3D64" w:rsidRPr="002C2F74">
        <w:rPr>
          <w:rStyle w:val="src"/>
          <w:rFonts w:cs="Times New Roman" w:hint="eastAsia"/>
          <w:color w:val="000000" w:themeColor="text1"/>
          <w:shd w:val="clear" w:color="auto" w:fill="FFFFFF"/>
        </w:rPr>
        <w:instrText xml:space="preserve">ers to submit sequences and receive the prediction results almost instantly.","container-title":"Nucleic Acids Research","DOI":"10.1093/nar/gkt006","ISSN":"0305-1048","issue":"6","journalAbbreviation":"Nucleic Acids Res","note":"CPAT </w:instrText>
      </w:r>
      <w:r w:rsidR="004B3D64" w:rsidRPr="002C2F74">
        <w:rPr>
          <w:rStyle w:val="src"/>
          <w:rFonts w:cs="Times New Roman" w:hint="eastAsia"/>
          <w:color w:val="000000" w:themeColor="text1"/>
          <w:shd w:val="clear" w:color="auto" w:fill="FFFFFF"/>
        </w:rPr>
        <w:instrText>软件下载</w:instrText>
      </w:r>
      <w:r w:rsidR="004B3D64" w:rsidRPr="002C2F74">
        <w:rPr>
          <w:rStyle w:val="src"/>
          <w:rFonts w:cs="Times New Roman" w:hint="eastAsia"/>
          <w:color w:val="000000" w:themeColor="text1"/>
          <w:shd w:val="clear" w:color="auto" w:fill="FFFFFF"/>
        </w:rPr>
        <w:instrText>","page":"e74","s</w:instrText>
      </w:r>
      <w:r w:rsidR="004B3D64" w:rsidRPr="002C2F74">
        <w:rPr>
          <w:rStyle w:val="src"/>
          <w:rFonts w:cs="Times New Roman"/>
          <w:color w:val="000000" w:themeColor="text1"/>
          <w:shd w:val="clear" w:color="auto" w:fill="FFFFFF"/>
        </w:rPr>
        <w:instrText xml:space="preserve">ource":"PubMed Central","title":"CPAT: Coding-Potential Assessment Tool using an alignment-free logistic regression model","title-short":"CPAT","volume":"41","author":[{"family":"Wang","given":"Liguo"},{"family":"Park","given":"Hyun Jung"},{"family":"Dasari","given":"Surendra"},{"family":"Wang","given":"Shengqin"},{"family":"Kocher","given":"Jean-Pierre"},{"family":"Li","given":"Wei"}],"issued":{"date-parts":[["2013",4]]}}}],"schema":"https://github.com/citation-style-language/schema/raw/master/csl-citation.json"} </w:instrText>
      </w:r>
      <w:r w:rsidR="00D078F4" w:rsidRPr="002C2F74">
        <w:rPr>
          <w:rStyle w:val="src"/>
          <w:rFonts w:cs="Times New Roman"/>
          <w:color w:val="000000" w:themeColor="text1"/>
          <w:shd w:val="clear" w:color="auto" w:fill="FFFFFF"/>
        </w:rPr>
        <w:fldChar w:fldCharType="separate"/>
      </w:r>
      <w:r w:rsidR="004B3D64" w:rsidRPr="002C2F74">
        <w:rPr>
          <w:rFonts w:cs="Times New Roman"/>
        </w:rPr>
        <w:t>[31]</w:t>
      </w:r>
      <w:r w:rsidR="00D078F4" w:rsidRPr="002C2F74">
        <w:rPr>
          <w:rStyle w:val="src"/>
          <w:rFonts w:cs="Times New Roman"/>
          <w:color w:val="000000" w:themeColor="text1"/>
          <w:shd w:val="clear" w:color="auto" w:fill="FFFFFF"/>
        </w:rPr>
        <w:fldChar w:fldCharType="end"/>
      </w:r>
      <w:r w:rsidRPr="002C2F74">
        <w:rPr>
          <w:rFonts w:eastAsiaTheme="minorEastAsia" w:cs="Times New Roman"/>
        </w:rPr>
        <w:t xml:space="preserve">, </w:t>
      </w:r>
      <w:r w:rsidR="00D078F4" w:rsidRPr="002C2F74">
        <w:rPr>
          <w:rFonts w:eastAsiaTheme="minorEastAsia" w:cs="Times New Roman"/>
        </w:rPr>
        <w:t>CPC</w:t>
      </w:r>
      <w:r w:rsidR="00D078F4" w:rsidRPr="002C2F74">
        <w:rPr>
          <w:rStyle w:val="src"/>
          <w:rFonts w:eastAsiaTheme="minorEastAsia" w:cs="Times New Roman"/>
          <w:color w:val="000000" w:themeColor="text1"/>
          <w:shd w:val="clear" w:color="auto" w:fill="FFFFFF"/>
        </w:rPr>
        <w:t xml:space="preserve"> </w:t>
      </w:r>
      <w:r w:rsidR="00D078F4" w:rsidRPr="002C2F74">
        <w:rPr>
          <w:rStyle w:val="src"/>
          <w:rFonts w:cs="Times New Roman"/>
          <w:color w:val="000000" w:themeColor="text1"/>
          <w:shd w:val="clear" w:color="auto" w:fill="FFFFFF"/>
        </w:rPr>
        <w:fldChar w:fldCharType="begin"/>
      </w:r>
      <w:r w:rsidR="004B3D64" w:rsidRPr="002C2F74">
        <w:rPr>
          <w:rStyle w:val="src"/>
          <w:rFonts w:cs="Times New Roman"/>
          <w:color w:val="000000" w:themeColor="text1"/>
          <w:shd w:val="clear" w:color="auto" w:fill="FFFFFF"/>
        </w:rPr>
        <w:instrText xml:space="preserve"> ADDIN ZOTERO_ITEM CSL_CITATION {"citationID":"hfqbplHn","properties":{"formattedCitation":"[32]","plainCitation":"[32]","noteIndex":0},"citationItems":[{"id":1353,"uris":["http://zotero.org/users/5158171/items/HQVFMV9Y"],"itemData":{"id":1353,"type":"article-journal","abstract":"Abstract.  With advances in next-generation sequencing technologies, numerous novel transcripts in a large number of organisms have been identified. With the go","container-title":"Nucleic Acids Research","DOI":"10.1093/nar/gkx42</w:instrText>
      </w:r>
      <w:r w:rsidR="004B3D64" w:rsidRPr="002C2F74">
        <w:rPr>
          <w:rStyle w:val="src"/>
          <w:rFonts w:cs="Times New Roman" w:hint="eastAsia"/>
          <w:color w:val="000000" w:themeColor="text1"/>
          <w:shd w:val="clear" w:color="auto" w:fill="FFFFFF"/>
        </w:rPr>
        <w:instrText xml:space="preserve">8","ISSN":"0305-1048","issue":"W1","journalAbbreviation":"Nucleic Acids Res","language":"en","note":"V2 </w:instrText>
      </w:r>
      <w:r w:rsidR="004B3D64" w:rsidRPr="002C2F74">
        <w:rPr>
          <w:rStyle w:val="src"/>
          <w:rFonts w:cs="Times New Roman" w:hint="eastAsia"/>
          <w:color w:val="000000" w:themeColor="text1"/>
          <w:shd w:val="clear" w:color="auto" w:fill="FFFFFF"/>
        </w:rPr>
        <w:instrText>版本，但是软件无法下载</w:instrText>
      </w:r>
      <w:r w:rsidR="004B3D64" w:rsidRPr="002C2F74">
        <w:rPr>
          <w:rStyle w:val="src"/>
          <w:rFonts w:cs="Times New Roman" w:hint="eastAsia"/>
          <w:color w:val="000000" w:themeColor="text1"/>
          <w:shd w:val="clear" w:color="auto" w:fill="FFFFFF"/>
        </w:rPr>
        <w:instrText>","page":"W12-W16","source":"academic.oup.com","title":"CPC2: a fast and accurate coding potential calculator based on sequence intrinsic fe</w:instrText>
      </w:r>
      <w:r w:rsidR="004B3D64" w:rsidRPr="002C2F74">
        <w:rPr>
          <w:rStyle w:val="src"/>
          <w:rFonts w:cs="Times New Roman"/>
          <w:color w:val="000000" w:themeColor="text1"/>
          <w:shd w:val="clear" w:color="auto" w:fill="FFFFFF"/>
        </w:rPr>
        <w:instrText xml:space="preserve">atures","title-short":"CPC2","volume":"45","author":[{"family":"Kang","given":"Yu-Jian"},{"family":"Yang","given":"De-Chang"},{"family":"Kong","given":"Lei"},{"family":"Hou","given":"Mei"},{"family":"Meng","given":"Yu-Qi"},{"family":"Wei","given":"Liping"},{"family":"Gao","given":"Ge"}],"issued":{"date-parts":[["2017",7,3]]}}}],"schema":"https://github.com/citation-style-language/schema/raw/master/csl-citation.json"} </w:instrText>
      </w:r>
      <w:r w:rsidR="00D078F4" w:rsidRPr="002C2F74">
        <w:rPr>
          <w:rStyle w:val="src"/>
          <w:rFonts w:cs="Times New Roman"/>
          <w:color w:val="000000" w:themeColor="text1"/>
          <w:shd w:val="clear" w:color="auto" w:fill="FFFFFF"/>
        </w:rPr>
        <w:fldChar w:fldCharType="separate"/>
      </w:r>
      <w:r w:rsidR="004B3D64" w:rsidRPr="002C2F74">
        <w:rPr>
          <w:rFonts w:cs="Times New Roman"/>
        </w:rPr>
        <w:t>[32]</w:t>
      </w:r>
      <w:r w:rsidR="00D078F4" w:rsidRPr="002C2F74">
        <w:rPr>
          <w:rStyle w:val="src"/>
          <w:rFonts w:cs="Times New Roman"/>
          <w:color w:val="000000" w:themeColor="text1"/>
          <w:shd w:val="clear" w:color="auto" w:fill="FFFFFF"/>
        </w:rPr>
        <w:fldChar w:fldCharType="end"/>
      </w:r>
      <w:r w:rsidR="00D078F4" w:rsidRPr="002C2F74">
        <w:rPr>
          <w:rStyle w:val="src"/>
          <w:rFonts w:cs="Times New Roman"/>
          <w:color w:val="000000" w:themeColor="text1"/>
          <w:shd w:val="clear" w:color="auto" w:fill="FFFFFF"/>
        </w:rPr>
        <w:t xml:space="preserve">, </w:t>
      </w:r>
      <w:proofErr w:type="spellStart"/>
      <w:r w:rsidR="00D078F4" w:rsidRPr="002C2F74">
        <w:rPr>
          <w:rFonts w:eastAsiaTheme="minorEastAsia" w:cs="Times New Roman"/>
        </w:rPr>
        <w:t>CPPred</w:t>
      </w:r>
      <w:proofErr w:type="spellEnd"/>
      <w:r w:rsidR="00D078F4" w:rsidRPr="002C2F74">
        <w:rPr>
          <w:rFonts w:eastAsiaTheme="minorEastAsia" w:cs="Times New Roman"/>
        </w:rPr>
        <w:t xml:space="preserve"> </w:t>
      </w:r>
      <w:r w:rsidR="00D078F4" w:rsidRPr="002C2F74">
        <w:rPr>
          <w:rStyle w:val="af4"/>
          <w:rFonts w:ascii="Times New Roman" w:hAnsi="Times New Roman"/>
          <w:color w:val="000000" w:themeColor="text1"/>
          <w:sz w:val="22"/>
          <w:szCs w:val="22"/>
          <w:shd w:val="clear" w:color="auto" w:fill="FFFFFF"/>
        </w:rPr>
        <w:fldChar w:fldCharType="begin"/>
      </w:r>
      <w:r w:rsidR="004B3D64" w:rsidRPr="002C2F74">
        <w:rPr>
          <w:rStyle w:val="af4"/>
          <w:rFonts w:ascii="Times New Roman" w:hAnsi="Times New Roman"/>
          <w:color w:val="000000" w:themeColor="text1"/>
          <w:sz w:val="22"/>
          <w:szCs w:val="22"/>
          <w:shd w:val="clear" w:color="auto" w:fill="FFFFFF"/>
        </w:rPr>
        <w:instrText xml:space="preserve"> ADDIN ZOTERO_ITEM CSL_CITATION {"citationID":"grt0P29m","properties":{"formattedCitation":"[33]","plainCitation":"[33]","noteIndex":0},"citationItems":[{"id":178,"uris":["http://zotero.org/users/5158171/items/RUPZJ5VK"],"itemData":{"id":178,"type":"article-journal","abstract":"Abstract.  The rapid and accurate approach to distinguish between coding RNAs and ncRNAs has been playing a critical role in analyzing thousands of novel transc","container-title":"Nucleic Acids Research","DOI":"10.1093/nar/gkz087","ISSN":"0305-1048","issue":"8","journalAbbreviation":"Nucleic Acids Res","language":"en","page":"e43-e43","source":"academic.oup.com","title":"CPPred: coding potential prediction based on the global description of RNA sequence","title-short":"CPPred","volume":"47","author":[{"family":"Tong","given":"Xiaoxue"},{"family":"Liu","given":"Shiyong"}],"issued":{"date-parts":[["2019",5,7]]}}}],"schema":"https://github.com/citation-style-language/schema/raw/master/csl-citation.json"} </w:instrText>
      </w:r>
      <w:r w:rsidR="00D078F4" w:rsidRPr="002C2F74">
        <w:rPr>
          <w:rStyle w:val="af4"/>
          <w:rFonts w:ascii="Times New Roman" w:hAnsi="Times New Roman"/>
          <w:color w:val="000000" w:themeColor="text1"/>
          <w:sz w:val="22"/>
          <w:szCs w:val="22"/>
          <w:shd w:val="clear" w:color="auto" w:fill="FFFFFF"/>
        </w:rPr>
        <w:fldChar w:fldCharType="separate"/>
      </w:r>
      <w:r w:rsidR="004B3D64" w:rsidRPr="002C2F74">
        <w:rPr>
          <w:rFonts w:cs="Times New Roman"/>
        </w:rPr>
        <w:t>[33]</w:t>
      </w:r>
      <w:r w:rsidR="00D078F4" w:rsidRPr="002C2F74">
        <w:rPr>
          <w:rStyle w:val="af4"/>
          <w:rFonts w:ascii="Times New Roman" w:hAnsi="Times New Roman"/>
          <w:color w:val="000000" w:themeColor="text1"/>
          <w:sz w:val="22"/>
          <w:szCs w:val="22"/>
          <w:shd w:val="clear" w:color="auto" w:fill="FFFFFF"/>
        </w:rPr>
        <w:fldChar w:fldCharType="end"/>
      </w:r>
      <w:r w:rsidR="00D078F4" w:rsidRPr="002C2F74">
        <w:rPr>
          <w:rFonts w:eastAsiaTheme="minorEastAsia" w:cs="Times New Roman"/>
        </w:rPr>
        <w:t xml:space="preserve"> and </w:t>
      </w:r>
      <w:r w:rsidRPr="002C2F74">
        <w:rPr>
          <w:rFonts w:eastAsiaTheme="minorEastAsia" w:cs="Times New Roman"/>
        </w:rPr>
        <w:t>PLEK</w:t>
      </w:r>
      <w:r w:rsidR="00D078F4" w:rsidRPr="002C2F74">
        <w:rPr>
          <w:rFonts w:eastAsiaTheme="minorEastAsia" w:cs="Times New Roman"/>
        </w:rPr>
        <w:t xml:space="preserve"> </w:t>
      </w:r>
      <w:r w:rsidR="00D078F4" w:rsidRPr="002C2F74">
        <w:rPr>
          <w:rStyle w:val="src"/>
          <w:rFonts w:cs="Times New Roman"/>
          <w:color w:val="000000" w:themeColor="text1"/>
          <w:shd w:val="clear" w:color="auto" w:fill="FFFFFF"/>
        </w:rPr>
        <w:fldChar w:fldCharType="begin"/>
      </w:r>
      <w:r w:rsidR="004B3D64" w:rsidRPr="002C2F74">
        <w:rPr>
          <w:rStyle w:val="src"/>
          <w:rFonts w:cs="Times New Roman"/>
          <w:color w:val="000000" w:themeColor="text1"/>
          <w:shd w:val="clear" w:color="auto" w:fill="FFFFFF"/>
        </w:rPr>
        <w:instrText xml:space="preserve"> ADDIN ZOTERO_ITEM CSL_CITATION {"citationID":"jsDWoZrF","properties":{"formattedCitation":"[34]","plainCitation":"[34]","noteIndex":0},"citationItems":[{"id":1839,"uris":["http://zotero.org/users/5158171/items/CQANUI5Z"],"itemData":{"id":1839,"type":"article-journal","abstract":"High-throughput transcriptome sequencing (RNA-seq) technology promises to discover novel protein-coding and non-coding transcripts, particularly the identification of long non-coding RNAs (lncRNAs) from de novo sequencing data. This requires tools that are not restricted by prior gene annotations, genomic sequences and high-quality sequencing.","container-title":"BMC Bioinformatics","DOI":"10.1186/1471-2105-15-311","ISSN":"1471-2105","issue":"1","journalAbbreviation":"BMC Bioinformatics","page":"311","source":"BioMed Central","title":"PLEK: a tool for predicting long non-coding RNAs and messenger RNAs based on an improved k-mer scheme","title-short":"PLEK","volume":"15","author":[{"family":"Li","given":"Aimin"},{"family":"Zhang","given":"Junying"},{"family":"Zhou","given":"Zhongyin"}],"issued":{"date-parts":[["2014",9,19]]}}}],"schema":"https://github.com/citation-style-language/schema/raw/master/csl-citation.json"} </w:instrText>
      </w:r>
      <w:r w:rsidR="00D078F4" w:rsidRPr="002C2F74">
        <w:rPr>
          <w:rStyle w:val="src"/>
          <w:rFonts w:cs="Times New Roman"/>
          <w:color w:val="000000" w:themeColor="text1"/>
          <w:shd w:val="clear" w:color="auto" w:fill="FFFFFF"/>
        </w:rPr>
        <w:fldChar w:fldCharType="separate"/>
      </w:r>
      <w:r w:rsidR="004B3D64" w:rsidRPr="002C2F74">
        <w:rPr>
          <w:rFonts w:cs="Times New Roman"/>
        </w:rPr>
        <w:t>[34]</w:t>
      </w:r>
      <w:r w:rsidR="00D078F4" w:rsidRPr="002C2F74">
        <w:rPr>
          <w:rStyle w:val="src"/>
          <w:rFonts w:cs="Times New Roman"/>
          <w:color w:val="000000" w:themeColor="text1"/>
          <w:shd w:val="clear" w:color="auto" w:fill="FFFFFF"/>
        </w:rPr>
        <w:fldChar w:fldCharType="end"/>
      </w:r>
      <w:r w:rsidRPr="002C2F74">
        <w:rPr>
          <w:rFonts w:eastAsiaTheme="minorEastAsia" w:cs="Times New Roman"/>
        </w:rPr>
        <w:t xml:space="preserve">. Transcripts were classified as </w:t>
      </w:r>
      <w:proofErr w:type="spellStart"/>
      <w:r w:rsidRPr="002C2F74">
        <w:rPr>
          <w:rFonts w:eastAsiaTheme="minorEastAsia" w:cs="Times New Roman"/>
        </w:rPr>
        <w:t>lncRNAs</w:t>
      </w:r>
      <w:proofErr w:type="spellEnd"/>
      <w:r w:rsidRPr="002C2F74">
        <w:rPr>
          <w:rFonts w:eastAsiaTheme="minorEastAsia" w:cs="Times New Roman"/>
        </w:rPr>
        <w:t xml:space="preserve"> only if all five methods </w:t>
      </w:r>
      <w:r w:rsidR="0071271D" w:rsidRPr="002C2F74">
        <w:rPr>
          <w:rFonts w:eastAsiaTheme="minorEastAsia" w:cs="Times New Roman" w:hint="eastAsia"/>
        </w:rPr>
        <w:t>all</w:t>
      </w:r>
      <w:r w:rsidRPr="002C2F74">
        <w:rPr>
          <w:rFonts w:eastAsiaTheme="minorEastAsia" w:cs="Times New Roman"/>
        </w:rPr>
        <w:t xml:space="preserve"> predict</w:t>
      </w:r>
      <w:r w:rsidR="0071271D" w:rsidRPr="002C2F74">
        <w:rPr>
          <w:rFonts w:eastAsiaTheme="minorEastAsia" w:cs="Times New Roman"/>
        </w:rPr>
        <w:t xml:space="preserve"> </w:t>
      </w:r>
      <w:r w:rsidRPr="002C2F74">
        <w:rPr>
          <w:rFonts w:eastAsiaTheme="minorEastAsia" w:cs="Times New Roman"/>
        </w:rPr>
        <w:t>them as noncoding.</w:t>
      </w:r>
    </w:p>
    <w:p w14:paraId="41645E3F" w14:textId="6DD19ED3" w:rsidR="001F0877" w:rsidRPr="002C2F74" w:rsidRDefault="001F0877" w:rsidP="00A163C1">
      <w:pPr>
        <w:snapToGrid w:val="0"/>
        <w:spacing w:line="276" w:lineRule="auto"/>
        <w:ind w:firstLine="360"/>
        <w:rPr>
          <w:rFonts w:eastAsiaTheme="minorEastAsia" w:cs="Times New Roman"/>
        </w:rPr>
      </w:pPr>
      <w:r w:rsidRPr="002C2F74">
        <w:rPr>
          <w:rFonts w:eastAsiaTheme="minorEastAsia" w:cs="Times New Roman"/>
          <w:b/>
          <w:bCs/>
        </w:rPr>
        <w:t xml:space="preserve">Step 2: </w:t>
      </w:r>
      <w:r w:rsidR="00130CF1" w:rsidRPr="002C2F74">
        <w:rPr>
          <w:rFonts w:eastAsiaTheme="minorEastAsia" w:cs="Times New Roman"/>
          <w:b/>
          <w:bCs/>
        </w:rPr>
        <w:t>Lnc</w:t>
      </w:r>
      <w:r w:rsidR="0071271D" w:rsidRPr="002C2F74">
        <w:rPr>
          <w:rFonts w:eastAsiaTheme="minorEastAsia" w:cs="Times New Roman"/>
          <w:b/>
          <w:bCs/>
        </w:rPr>
        <w:t>RNA</w:t>
      </w:r>
      <w:r w:rsidR="00130CF1" w:rsidRPr="002C2F74">
        <w:rPr>
          <w:rFonts w:eastAsiaTheme="minorEastAsia" w:cs="Times New Roman"/>
          <w:b/>
          <w:bCs/>
        </w:rPr>
        <w:t xml:space="preserve"> classification.</w:t>
      </w:r>
      <w:r w:rsidRPr="002C2F74">
        <w:rPr>
          <w:rFonts w:eastAsiaTheme="minorEastAsia" w:cs="Times New Roman"/>
        </w:rPr>
        <w:t xml:space="preserve"> New transcripts that were not annotated in GENCODE</w:t>
      </w:r>
      <w:r w:rsidR="00EA3CB0" w:rsidRPr="002C2F74">
        <w:rPr>
          <w:rFonts w:eastAsiaTheme="minorEastAsia" w:cs="Times New Roman" w:hint="eastAsia"/>
        </w:rPr>
        <w:t xml:space="preserve"> </w:t>
      </w:r>
      <w:r w:rsidR="00EA3CB0" w:rsidRPr="002C2F74">
        <w:rPr>
          <w:rFonts w:eastAsiaTheme="minorEastAsia" w:cs="Times New Roman"/>
        </w:rPr>
        <w:fldChar w:fldCharType="begin"/>
      </w:r>
      <w:r w:rsidR="004B3D64" w:rsidRPr="002C2F74">
        <w:rPr>
          <w:rFonts w:eastAsiaTheme="minorEastAsia" w:cs="Times New Roman"/>
        </w:rPr>
        <w:instrText xml:space="preserve"> ADDIN ZOTERO_ITEM CSL_CITATION {"citationID":"Yml9XMYW","properties":{"formattedCitation":"[35]","plainCitation":"[35]","noteIndex":0},"citationItems":[{"id":5861,"uris":["http://zotero.org/users/5158171/items/NCTI49VP"],"itemData":{"id":5861,"type":"article-journal","abstract":"The GENCODE Consortium aims to identify all gene features in the human genome using a combination of computational analysis, manual annotation, and experimental validation. Since the first public release of this annotation data set, few new protein-coding loci have been added, yet the number of alternative splicing transcripts annotated has steadily increased. The GENCODE 7 release contains 20,687 protein-coding and 9640 long noncoding RNA loci and has 33,977 coding transcripts not represented in UCSC genes and RefSeq. It also has the most comprehensive annotation of long noncoding RNA (lncRNA) loci publicly available with the predominant transcript form consisting of two exons. We have examined the completeness of the transcript annotation and found that 35% of transcriptional start sites are supported by CAGE clusters and 62% of protein-coding genes have annotated polyA sites. Over one-third of GENCODE protein-coding genes are supported by peptide hits derived from mass spectrometry spectra submitted to Peptide Atlas. New models derived from the Illumina Body Map 2.0 RNA-seq data identify 3689 new loci not currently in GENCODE, of which 3127 consist of two exon models indicating that they are possibly unannotated long noncoding loci. GENCODE 7 is publicly available from gencodegenes.org and via the Ensembl and UCSC Genome Browsers.","container-title":"Genome Research","DOI":"10.1101/gr.135350.111","ISSN":"1088-9051","issue":"9","journalAbbreviation":"Genome Res","note":"PMID: 22955987\nPMCID: PMC3431492","page":"1760-1774","source":"PubMed Central","title":"GENCODE: The reference human genome annotation for The ENCODE Project","title-short":"GENCODE","volume":"22","author":[{"family":"Harrow","given":"Jennifer"},{"family":"Frankish","given":"Adam"},{"family":"Gonzalez","given":"Jose M."},{"family":"Tapanari","given":"Electra"},{"family":"Diekhans","given":"Mark"},{"family":"Kokocinski","given":"Felix"},{"family":"Aken","given":"Bronwen L."},{"family":"Barrell","given":"Daniel"},{"family":"Zadissa","given":"Amonida"},{"family":"Searle","given":"Stephen"},{"family":"Barnes","given":"If"},{"family":"Bignell","given":"Alexandra"},{"family":"Boychenko","given":"Veronika"},{"family":"Hunt","given":"Toby"},{"family":"Kay","given":"Mike"},{"family":"Mukherjee","given":"Gaurab"},{"family":"Rajan","given":"Jeena"},{"family":"Despacio-Reyes","given":"Gloria"},{"family":"Saunders","given":"Gary"},{"family":"Steward","given":"Charles"},{"family":"Harte","given":"Rachel"},{"family":"Lin","given":"Michael"},{"family":"Howald","given":"Cédric"},{"family":"Tanzer","given":"Andrea"},{"family":"Derrien","given":"Thomas"},{"family":"Chrast","given":"Jacqueline"},{"family":"Walters","given":"Nathalie"},{"family":"Balasubramanian","given":"Suganthi"},{"family":"Pei","given":"Baikang"},{"family":"Tress","given":"Michael"},{"family":"Rodriguez","given":"Jose Manuel"},{"family":"Ezkurdia","given":"Iakes"},{"family":"Baren","given":"Jeltje","non-dropping-particle":"van"},{"family":"Brent","given":"Michael"},{"family":"Haussler","given":"David"},{"family":"Kellis","given":"Manolis"},{"family":"Valencia","given":"Alfonso"},{"family":"Reymond","given":"Alexandre"},{"family":"Gerstein","given":"Mark"},{"family":"Guigó","given":"Roderic"},{"family":"Hubbard","given":"Tim J."}],"issued":{"date-parts":[["2012",9]]}}}],"schema":"https://github.com/citation-style-language/schema/raw/master/csl-citation.json"} </w:instrText>
      </w:r>
      <w:r w:rsidR="00EA3CB0" w:rsidRPr="002C2F74">
        <w:rPr>
          <w:rFonts w:eastAsiaTheme="minorEastAsia" w:cs="Times New Roman"/>
        </w:rPr>
        <w:fldChar w:fldCharType="separate"/>
      </w:r>
      <w:r w:rsidR="004B3D64" w:rsidRPr="002C2F74">
        <w:rPr>
          <w:rFonts w:cs="Times New Roman"/>
        </w:rPr>
        <w:t>[35]</w:t>
      </w:r>
      <w:r w:rsidR="00EA3CB0" w:rsidRPr="002C2F74">
        <w:rPr>
          <w:rFonts w:eastAsiaTheme="minorEastAsia" w:cs="Times New Roman"/>
        </w:rPr>
        <w:fldChar w:fldCharType="end"/>
      </w:r>
      <w:r w:rsidR="0071271D" w:rsidRPr="002C2F74">
        <w:rPr>
          <w:rFonts w:eastAsiaTheme="minorEastAsia" w:cs="Times New Roman"/>
        </w:rPr>
        <w:t xml:space="preserve"> </w:t>
      </w:r>
      <w:r w:rsidRPr="002C2F74">
        <w:rPr>
          <w:rFonts w:eastAsiaTheme="minorEastAsia" w:cs="Times New Roman"/>
        </w:rPr>
        <w:t>were categorized based on their genomic location as follows:</w:t>
      </w:r>
    </w:p>
    <w:p w14:paraId="568DC8EE" w14:textId="0A4D1484" w:rsidR="001F0877" w:rsidRPr="002C2F74" w:rsidRDefault="001F0877" w:rsidP="00A163C1">
      <w:pPr>
        <w:numPr>
          <w:ilvl w:val="0"/>
          <w:numId w:val="13"/>
        </w:numPr>
        <w:snapToGrid w:val="0"/>
        <w:spacing w:line="276" w:lineRule="auto"/>
        <w:rPr>
          <w:rFonts w:eastAsiaTheme="minorEastAsia" w:cs="Times New Roman"/>
        </w:rPr>
      </w:pPr>
      <w:r w:rsidRPr="002C2F74">
        <w:rPr>
          <w:rFonts w:eastAsiaTheme="minorEastAsia" w:cs="Times New Roman"/>
        </w:rPr>
        <w:t>"</w:t>
      </w:r>
      <w:proofErr w:type="spellStart"/>
      <w:r w:rsidRPr="002C2F74">
        <w:rPr>
          <w:rFonts w:eastAsiaTheme="minorEastAsia" w:cs="Times New Roman"/>
        </w:rPr>
        <w:t>i</w:t>
      </w:r>
      <w:proofErr w:type="spellEnd"/>
      <w:r w:rsidRPr="002C2F74">
        <w:rPr>
          <w:rFonts w:eastAsiaTheme="minorEastAsia" w:cs="Times New Roman"/>
        </w:rPr>
        <w:t xml:space="preserve">": </w:t>
      </w:r>
      <w:r w:rsidR="0071271D" w:rsidRPr="002C2F74">
        <w:rPr>
          <w:rFonts w:eastAsiaTheme="minorEastAsia" w:cs="Times New Roman"/>
        </w:rPr>
        <w:t>t</w:t>
      </w:r>
      <w:r w:rsidRPr="002C2F74">
        <w:rPr>
          <w:rFonts w:eastAsiaTheme="minorEastAsia" w:cs="Times New Roman"/>
        </w:rPr>
        <w:t xml:space="preserve">ranscripts entirely within an </w:t>
      </w:r>
      <w:proofErr w:type="gramStart"/>
      <w:r w:rsidRPr="002C2F74">
        <w:rPr>
          <w:rFonts w:eastAsiaTheme="minorEastAsia" w:cs="Times New Roman"/>
        </w:rPr>
        <w:t>intron</w:t>
      </w:r>
      <w:r w:rsidR="00406C25" w:rsidRPr="002C2F74">
        <w:rPr>
          <w:rFonts w:eastAsiaTheme="minorEastAsia" w:cs="Times New Roman"/>
        </w:rPr>
        <w:t>;</w:t>
      </w:r>
      <w:proofErr w:type="gramEnd"/>
    </w:p>
    <w:p w14:paraId="1862245C" w14:textId="0519114B" w:rsidR="001F0877" w:rsidRPr="002C2F74" w:rsidRDefault="001F0877" w:rsidP="00A163C1">
      <w:pPr>
        <w:numPr>
          <w:ilvl w:val="0"/>
          <w:numId w:val="13"/>
        </w:numPr>
        <w:snapToGrid w:val="0"/>
        <w:spacing w:line="276" w:lineRule="auto"/>
        <w:rPr>
          <w:rFonts w:eastAsiaTheme="minorEastAsia" w:cs="Times New Roman"/>
        </w:rPr>
      </w:pPr>
      <w:r w:rsidRPr="002C2F74">
        <w:rPr>
          <w:rFonts w:eastAsiaTheme="minorEastAsia" w:cs="Times New Roman"/>
        </w:rPr>
        <w:t xml:space="preserve">"p": </w:t>
      </w:r>
      <w:r w:rsidR="0071271D" w:rsidRPr="002C2F74">
        <w:rPr>
          <w:rFonts w:eastAsiaTheme="minorEastAsia" w:cs="Times New Roman"/>
        </w:rPr>
        <w:t>t</w:t>
      </w:r>
      <w:r w:rsidRPr="002C2F74">
        <w:rPr>
          <w:rFonts w:eastAsiaTheme="minorEastAsia" w:cs="Times New Roman"/>
        </w:rPr>
        <w:t xml:space="preserve">ranscripts located within 2 </w:t>
      </w:r>
      <w:proofErr w:type="spellStart"/>
      <w:r w:rsidRPr="002C2F74">
        <w:rPr>
          <w:rFonts w:eastAsiaTheme="minorEastAsia" w:cs="Times New Roman"/>
        </w:rPr>
        <w:t>Kb</w:t>
      </w:r>
      <w:proofErr w:type="spellEnd"/>
      <w:r w:rsidRPr="002C2F74">
        <w:rPr>
          <w:rFonts w:eastAsiaTheme="minorEastAsia" w:cs="Times New Roman"/>
        </w:rPr>
        <w:t xml:space="preserve"> of a </w:t>
      </w:r>
      <w:r w:rsidR="0071271D" w:rsidRPr="002C2F74">
        <w:rPr>
          <w:rFonts w:eastAsiaTheme="minorEastAsia" w:cs="Times New Roman"/>
        </w:rPr>
        <w:t xml:space="preserve">previously </w:t>
      </w:r>
      <w:r w:rsidRPr="002C2F74">
        <w:rPr>
          <w:rFonts w:eastAsiaTheme="minorEastAsia" w:cs="Times New Roman"/>
        </w:rPr>
        <w:t xml:space="preserve">known </w:t>
      </w:r>
      <w:proofErr w:type="gramStart"/>
      <w:r w:rsidRPr="002C2F74">
        <w:rPr>
          <w:rFonts w:eastAsiaTheme="minorEastAsia" w:cs="Times New Roman"/>
        </w:rPr>
        <w:t>transcript</w:t>
      </w:r>
      <w:r w:rsidR="00406C25" w:rsidRPr="002C2F74">
        <w:rPr>
          <w:rFonts w:eastAsiaTheme="minorEastAsia" w:cs="Times New Roman"/>
        </w:rPr>
        <w:t>;</w:t>
      </w:r>
      <w:proofErr w:type="gramEnd"/>
    </w:p>
    <w:p w14:paraId="0C86058C" w14:textId="5918EE5A" w:rsidR="00D078F4" w:rsidRPr="002C2F74" w:rsidRDefault="00D078F4" w:rsidP="00A163C1">
      <w:pPr>
        <w:numPr>
          <w:ilvl w:val="0"/>
          <w:numId w:val="13"/>
        </w:numPr>
        <w:snapToGrid w:val="0"/>
        <w:spacing w:line="276" w:lineRule="auto"/>
        <w:rPr>
          <w:rFonts w:eastAsiaTheme="minorEastAsia" w:cs="Times New Roman"/>
        </w:rPr>
      </w:pPr>
      <w:r w:rsidRPr="002C2F74">
        <w:rPr>
          <w:rFonts w:eastAsiaTheme="minorEastAsia" w:cs="Times New Roman"/>
        </w:rPr>
        <w:t xml:space="preserve">"y": </w:t>
      </w:r>
      <w:r w:rsidR="0071271D" w:rsidRPr="002C2F74">
        <w:rPr>
          <w:rFonts w:eastAsiaTheme="minorEastAsia" w:cs="Times New Roman"/>
        </w:rPr>
        <w:t>t</w:t>
      </w:r>
      <w:r w:rsidRPr="002C2F74">
        <w:rPr>
          <w:rFonts w:eastAsiaTheme="minorEastAsia" w:cs="Times New Roman"/>
        </w:rPr>
        <w:t xml:space="preserve">ranscripts </w:t>
      </w:r>
      <w:r w:rsidR="00903BAA" w:rsidRPr="002C2F74">
        <w:rPr>
          <w:rFonts w:eastAsiaTheme="minorEastAsia" w:cs="Times New Roman"/>
        </w:rPr>
        <w:t>containing at least one reference intron</w:t>
      </w:r>
      <w:r w:rsidR="00406C25" w:rsidRPr="002C2F74">
        <w:rPr>
          <w:rFonts w:eastAsiaTheme="minorEastAsia" w:cs="Times New Roman"/>
        </w:rPr>
        <w:t>; and</w:t>
      </w:r>
    </w:p>
    <w:p w14:paraId="0819A55B" w14:textId="01CF8061" w:rsidR="001F0877" w:rsidRPr="002C2F74" w:rsidRDefault="001F0877" w:rsidP="00A163C1">
      <w:pPr>
        <w:numPr>
          <w:ilvl w:val="0"/>
          <w:numId w:val="13"/>
        </w:numPr>
        <w:snapToGrid w:val="0"/>
        <w:spacing w:line="276" w:lineRule="auto"/>
        <w:rPr>
          <w:rFonts w:eastAsiaTheme="minorEastAsia" w:cs="Times New Roman"/>
        </w:rPr>
      </w:pPr>
      <w:r w:rsidRPr="002C2F74">
        <w:rPr>
          <w:rFonts w:eastAsiaTheme="minorEastAsia" w:cs="Times New Roman"/>
        </w:rPr>
        <w:t xml:space="preserve">"u": </w:t>
      </w:r>
      <w:r w:rsidR="00027618" w:rsidRPr="002C2F74">
        <w:rPr>
          <w:rFonts w:eastAsiaTheme="minorEastAsia" w:cs="Times New Roman" w:hint="eastAsia"/>
        </w:rPr>
        <w:t>t</w:t>
      </w:r>
      <w:r w:rsidRPr="002C2F74">
        <w:rPr>
          <w:rFonts w:eastAsiaTheme="minorEastAsia" w:cs="Times New Roman"/>
        </w:rPr>
        <w:t>ranscripts in intergenic regions</w:t>
      </w:r>
      <w:r w:rsidR="00406C25" w:rsidRPr="002C2F74">
        <w:rPr>
          <w:rFonts w:eastAsiaTheme="minorEastAsia" w:cs="Times New Roman"/>
        </w:rPr>
        <w:t>.</w:t>
      </w:r>
    </w:p>
    <w:p w14:paraId="2E0D016E" w14:textId="3207D180" w:rsidR="00FB7B8E" w:rsidRPr="002C2F74" w:rsidRDefault="001F0877" w:rsidP="00A163C1">
      <w:pPr>
        <w:snapToGrid w:val="0"/>
        <w:spacing w:line="276" w:lineRule="auto"/>
        <w:ind w:firstLine="360"/>
        <w:rPr>
          <w:rFonts w:eastAsiaTheme="minorEastAsia" w:cs="Times New Roman"/>
        </w:rPr>
      </w:pPr>
      <w:r w:rsidRPr="002C2F74">
        <w:rPr>
          <w:rFonts w:eastAsiaTheme="minorEastAsia" w:cs="Times New Roman"/>
        </w:rPr>
        <w:t xml:space="preserve">Additionally, all identified </w:t>
      </w:r>
      <w:proofErr w:type="spellStart"/>
      <w:r w:rsidRPr="002C2F74">
        <w:rPr>
          <w:rFonts w:eastAsiaTheme="minorEastAsia" w:cs="Times New Roman"/>
        </w:rPr>
        <w:t>lncRNAs</w:t>
      </w:r>
      <w:proofErr w:type="spellEnd"/>
      <w:r w:rsidRPr="002C2F74">
        <w:rPr>
          <w:rFonts w:eastAsiaTheme="minorEastAsia" w:cs="Times New Roman"/>
        </w:rPr>
        <w:t xml:space="preserve"> were further classified into intergenic, antisense, or intronic </w:t>
      </w:r>
      <w:proofErr w:type="spellStart"/>
      <w:r w:rsidRPr="002C2F74">
        <w:rPr>
          <w:rFonts w:eastAsiaTheme="minorEastAsia" w:cs="Times New Roman"/>
        </w:rPr>
        <w:t>lncRNAs</w:t>
      </w:r>
      <w:proofErr w:type="spellEnd"/>
      <w:r w:rsidRPr="002C2F74">
        <w:rPr>
          <w:rFonts w:eastAsiaTheme="minorEastAsia" w:cs="Times New Roman"/>
        </w:rPr>
        <w:t xml:space="preserve"> based on their genomic position</w:t>
      </w:r>
      <w:r w:rsidR="00027618" w:rsidRPr="002C2F74">
        <w:rPr>
          <w:rFonts w:eastAsiaTheme="minorEastAsia" w:cs="Times New Roman"/>
        </w:rPr>
        <w:t>s</w:t>
      </w:r>
      <w:r w:rsidRPr="002C2F74">
        <w:rPr>
          <w:rFonts w:eastAsiaTheme="minorEastAsia" w:cs="Times New Roman"/>
        </w:rPr>
        <w:t>.</w:t>
      </w:r>
    </w:p>
    <w:p w14:paraId="71855FC8" w14:textId="77777777" w:rsidR="00A163C1" w:rsidRPr="002C2F74" w:rsidRDefault="00A163C1" w:rsidP="00A163C1">
      <w:pPr>
        <w:snapToGrid w:val="0"/>
        <w:spacing w:line="276" w:lineRule="auto"/>
        <w:ind w:firstLine="360"/>
        <w:rPr>
          <w:rStyle w:val="src"/>
          <w:rFonts w:eastAsiaTheme="minorEastAsia" w:cs="Times New Roman"/>
        </w:rPr>
      </w:pPr>
    </w:p>
    <w:p w14:paraId="29C5AD30" w14:textId="1E8AF490" w:rsidR="00C96AB7" w:rsidRPr="002C2F74" w:rsidRDefault="00C96AB7" w:rsidP="00A163C1">
      <w:pPr>
        <w:snapToGrid w:val="0"/>
        <w:spacing w:line="276" w:lineRule="auto"/>
        <w:rPr>
          <w:rFonts w:eastAsiaTheme="minorEastAsia" w:cs="Times New Roman"/>
          <w:b/>
          <w:bCs/>
        </w:rPr>
      </w:pPr>
      <w:r w:rsidRPr="002C2F74">
        <w:rPr>
          <w:rFonts w:eastAsiaTheme="minorEastAsia" w:cs="Times New Roman"/>
          <w:b/>
          <w:bCs/>
        </w:rPr>
        <w:t xml:space="preserve">4.2.4. </w:t>
      </w:r>
      <w:r w:rsidR="00130CF1" w:rsidRPr="002C2F74">
        <w:rPr>
          <w:rFonts w:eastAsiaTheme="minorEastAsia" w:cs="Times New Roman"/>
          <w:b/>
          <w:bCs/>
        </w:rPr>
        <w:t>Differential expression and pathway enrichment analys</w:t>
      </w:r>
      <w:r w:rsidR="00F362F5" w:rsidRPr="002C2F74">
        <w:rPr>
          <w:rFonts w:eastAsiaTheme="minorEastAsia" w:cs="Times New Roman"/>
          <w:b/>
          <w:bCs/>
        </w:rPr>
        <w:t>e</w:t>
      </w:r>
      <w:r w:rsidR="00130CF1" w:rsidRPr="002C2F74">
        <w:rPr>
          <w:rFonts w:eastAsiaTheme="minorEastAsia" w:cs="Times New Roman"/>
          <w:b/>
          <w:bCs/>
        </w:rPr>
        <w:t>s</w:t>
      </w:r>
    </w:p>
    <w:p w14:paraId="1F91CA0E" w14:textId="480E6A71" w:rsidR="00C96AB7" w:rsidRPr="002C2F74" w:rsidRDefault="00C96AB7" w:rsidP="00A163C1">
      <w:pPr>
        <w:snapToGrid w:val="0"/>
        <w:spacing w:line="276" w:lineRule="auto"/>
        <w:ind w:firstLine="420"/>
        <w:rPr>
          <w:rFonts w:eastAsiaTheme="minorEastAsia" w:cs="Times New Roman"/>
        </w:rPr>
      </w:pPr>
      <w:r w:rsidRPr="002C2F74">
        <w:rPr>
          <w:rFonts w:eastAsiaTheme="minorEastAsia" w:cs="Times New Roman"/>
        </w:rPr>
        <w:t>Differential expression analys</w:t>
      </w:r>
      <w:r w:rsidR="00E5053C" w:rsidRPr="002C2F74">
        <w:rPr>
          <w:rFonts w:eastAsiaTheme="minorEastAsia" w:cs="Times New Roman"/>
        </w:rPr>
        <w:t>e</w:t>
      </w:r>
      <w:r w:rsidRPr="002C2F74">
        <w:rPr>
          <w:rFonts w:eastAsiaTheme="minorEastAsia" w:cs="Times New Roman"/>
        </w:rPr>
        <w:t>s w</w:t>
      </w:r>
      <w:r w:rsidR="00E5053C" w:rsidRPr="002C2F74">
        <w:rPr>
          <w:rFonts w:eastAsiaTheme="minorEastAsia" w:cs="Times New Roman"/>
        </w:rPr>
        <w:t>ere</w:t>
      </w:r>
      <w:r w:rsidRPr="002C2F74">
        <w:rPr>
          <w:rFonts w:eastAsiaTheme="minorEastAsia" w:cs="Times New Roman"/>
        </w:rPr>
        <w:t xml:space="preserve"> performed to identify differentially expressed transcripts (DETs) between (MCI </w:t>
      </w:r>
      <w:r w:rsidRPr="002C2F74">
        <w:rPr>
          <w:rFonts w:ascii="Cambria Math" w:eastAsia="MS Gothic" w:hAnsi="Cambria Math" w:cs="Cambria Math"/>
        </w:rPr>
        <w:t>⋃</w:t>
      </w:r>
      <w:r w:rsidRPr="002C2F74">
        <w:rPr>
          <w:rFonts w:eastAsiaTheme="minorEastAsia" w:cs="Times New Roman"/>
        </w:rPr>
        <w:t xml:space="preserve"> AD) samples and controls using the "DESeq2" function</w:t>
      </w:r>
      <w:r w:rsidR="00E141E0" w:rsidRPr="002C2F74">
        <w:rPr>
          <w:rFonts w:eastAsiaTheme="minorEastAsia" w:cs="Times New Roman"/>
        </w:rPr>
        <w:t xml:space="preserve"> </w:t>
      </w:r>
      <w:r w:rsidR="00E141E0" w:rsidRPr="002C2F74">
        <w:rPr>
          <w:rFonts w:cs="Times New Roman"/>
        </w:rPr>
        <w:fldChar w:fldCharType="begin"/>
      </w:r>
      <w:r w:rsidR="004B3D64" w:rsidRPr="002C2F74">
        <w:rPr>
          <w:rFonts w:cs="Times New Roman"/>
        </w:rPr>
        <w:instrText xml:space="preserve"> ADDIN ZOTERO_ITEM CSL_CITATION {"citationID":"L0DCTYNS","properties":{"formattedCitation":"[36]","plainCitation":"[36]","noteIndex":0},"citationItems":[{"id":4875,"uris":["http://zotero.org/users/5158171/items/BEEXMYFL"],"itemData":{"id":4875,"type":"article-journal","abstract":"In comparative high-throughput sequencing assays, a fundamental task is the analysis of count data, such as read counts per gene in RNA-seq, for evidence of systematic changes across experimental conditions. Small replicate numbers, discreteness, large dynamic range and the presence of outliers require a suitable statistical approach. We present DESeq2, a method for differential analysis of count data, using shrinkage estimation for dispersions and fold changes to improve stability and interpretability of estimates. This enables a more quantitative analysis focused on the strength rather than the mere presence of differential expression. The DESeq2 package is available at http://www.bioconductor.org/packages/release/bioc/html/DESeq2.html.","container-title":"Genome Biology","DOI":"10.1186/s13059-014-0550-8","ISSN":"1474-760X","issue":"12","journalAbbreviation":"Genome Biology","page":"550","source":"BioMed Central","title":"Moderated estimation of fold change and dispersion for RNA-seq data with DESeq2","volume":"15","author":[{"family":"Love","given":"Michael I."},{"family":"Huber","given":"Wolfgang"},{"family":"Anders","given":"Simon"}],"issued":{"date-parts":[["2014",12,5]]}}}],"schema":"https://github.com/citation-style-language/schema/raw/master/csl-citation.json"} </w:instrText>
      </w:r>
      <w:r w:rsidR="00E141E0" w:rsidRPr="002C2F74">
        <w:rPr>
          <w:rFonts w:cs="Times New Roman"/>
        </w:rPr>
        <w:fldChar w:fldCharType="separate"/>
      </w:r>
      <w:r w:rsidR="004B3D64" w:rsidRPr="002C2F74">
        <w:rPr>
          <w:rFonts w:cs="Times New Roman"/>
        </w:rPr>
        <w:t>[36]</w:t>
      </w:r>
      <w:r w:rsidR="00E141E0" w:rsidRPr="002C2F74">
        <w:rPr>
          <w:rFonts w:cs="Times New Roman"/>
        </w:rPr>
        <w:fldChar w:fldCharType="end"/>
      </w:r>
      <w:r w:rsidRPr="002C2F74">
        <w:rPr>
          <w:rFonts w:eastAsiaTheme="minorEastAsia" w:cs="Times New Roman"/>
        </w:rPr>
        <w:t>. Transcripts with a fold change (</w:t>
      </w:r>
      <w:r w:rsidR="00A3248B" w:rsidRPr="002C2F74">
        <w:rPr>
          <w:rFonts w:cs="Times New Roman"/>
        </w:rPr>
        <w:t>|FC|</w:t>
      </w:r>
      <w:r w:rsidRPr="002C2F74">
        <w:rPr>
          <w:rFonts w:eastAsiaTheme="minorEastAsia" w:cs="Times New Roman"/>
        </w:rPr>
        <w:t>) ≥ 1.3 and a false discovery rate (FDR) &lt; 0.05 were considered differentially expressed, while transcripts with normalized read counts below 1 were excluded.</w:t>
      </w:r>
    </w:p>
    <w:p w14:paraId="7472F4F0" w14:textId="2B24D713" w:rsidR="00C96AB7" w:rsidRPr="002C2F74" w:rsidRDefault="006906FF" w:rsidP="00A163C1">
      <w:pPr>
        <w:snapToGrid w:val="0"/>
        <w:spacing w:line="276" w:lineRule="auto"/>
        <w:ind w:firstLine="420"/>
        <w:rPr>
          <w:rFonts w:eastAsiaTheme="minorEastAsia" w:cs="Times New Roman"/>
        </w:rPr>
      </w:pPr>
      <w:r w:rsidRPr="002C2F74">
        <w:rPr>
          <w:rFonts w:eastAsiaTheme="minorEastAsia" w:cs="Times New Roman"/>
        </w:rPr>
        <w:t>T</w:t>
      </w:r>
      <w:r w:rsidR="00C96AB7" w:rsidRPr="002C2F74">
        <w:rPr>
          <w:rFonts w:eastAsiaTheme="minorEastAsia" w:cs="Times New Roman"/>
        </w:rPr>
        <w:t xml:space="preserve">he identified DETs were </w:t>
      </w:r>
      <w:r w:rsidRPr="002C2F74">
        <w:rPr>
          <w:rFonts w:eastAsiaTheme="minorEastAsia" w:cs="Times New Roman"/>
        </w:rPr>
        <w:t>subject to pathway enrichment analysis against</w:t>
      </w:r>
      <w:r w:rsidR="00C96AB7" w:rsidRPr="002C2F74">
        <w:rPr>
          <w:rFonts w:eastAsiaTheme="minorEastAsia" w:cs="Times New Roman"/>
        </w:rPr>
        <w:t xml:space="preserve"> KEGG, REACTOME, and GO Biological Process databases. Only pathways with an enrichment P-value &lt; 0.0</w:t>
      </w:r>
      <w:r w:rsidR="00A3248B" w:rsidRPr="002C2F74">
        <w:rPr>
          <w:rFonts w:eastAsiaTheme="minorEastAsia" w:cs="Times New Roman"/>
        </w:rPr>
        <w:t>5</w:t>
      </w:r>
      <w:r w:rsidR="00C96AB7" w:rsidRPr="002C2F74">
        <w:rPr>
          <w:rFonts w:eastAsiaTheme="minorEastAsia" w:cs="Times New Roman"/>
        </w:rPr>
        <w:t xml:space="preserve"> were considered</w:t>
      </w:r>
      <w:r w:rsidRPr="002C2F74">
        <w:rPr>
          <w:rFonts w:eastAsiaTheme="minorEastAsia" w:cs="Times New Roman"/>
        </w:rPr>
        <w:t xml:space="preserve"> for further study</w:t>
      </w:r>
      <w:r w:rsidR="00C96AB7" w:rsidRPr="002C2F74">
        <w:rPr>
          <w:rFonts w:eastAsiaTheme="minorEastAsia" w:cs="Times New Roman"/>
        </w:rPr>
        <w:t>.</w:t>
      </w:r>
    </w:p>
    <w:p w14:paraId="55015241" w14:textId="77777777" w:rsidR="00A163C1" w:rsidRPr="002C2F74" w:rsidRDefault="00A163C1" w:rsidP="00A163C1">
      <w:pPr>
        <w:snapToGrid w:val="0"/>
        <w:spacing w:line="276" w:lineRule="auto"/>
        <w:ind w:firstLine="420"/>
        <w:rPr>
          <w:rFonts w:eastAsiaTheme="minorEastAsia" w:cs="Times New Roman"/>
        </w:rPr>
      </w:pPr>
    </w:p>
    <w:p w14:paraId="31DD0526" w14:textId="143E07F1" w:rsidR="00614DFB" w:rsidRPr="002C2F74" w:rsidRDefault="00614DFB" w:rsidP="00A163C1">
      <w:pPr>
        <w:snapToGrid w:val="0"/>
        <w:spacing w:line="276" w:lineRule="auto"/>
        <w:rPr>
          <w:rFonts w:eastAsiaTheme="minorEastAsia" w:cs="Times New Roman"/>
        </w:rPr>
      </w:pPr>
      <w:r w:rsidRPr="002C2F74">
        <w:rPr>
          <w:rFonts w:eastAsiaTheme="minorEastAsia" w:cs="Times New Roman"/>
          <w:b/>
          <w:bCs/>
        </w:rPr>
        <w:t xml:space="preserve">4.2.5 Identification of splicing </w:t>
      </w:r>
      <w:r w:rsidR="00F362F5" w:rsidRPr="002C2F74">
        <w:rPr>
          <w:rFonts w:eastAsiaTheme="minorEastAsia" w:cs="Times New Roman"/>
          <w:b/>
          <w:bCs/>
        </w:rPr>
        <w:t>isoforms</w:t>
      </w:r>
    </w:p>
    <w:p w14:paraId="67387B84" w14:textId="4BA9F71C" w:rsidR="00D06EFF" w:rsidRPr="002C2F74" w:rsidRDefault="00A67BAD" w:rsidP="00067661">
      <w:pPr>
        <w:snapToGrid w:val="0"/>
        <w:spacing w:line="276" w:lineRule="auto"/>
        <w:ind w:firstLine="420"/>
        <w:rPr>
          <w:rFonts w:cs="Times New Roman"/>
        </w:rPr>
      </w:pPr>
      <w:r w:rsidRPr="002C2F74">
        <w:rPr>
          <w:rFonts w:cs="Times New Roman"/>
        </w:rPr>
        <w:t>Assembled transcript</w:t>
      </w:r>
      <w:r w:rsidR="00614DFB" w:rsidRPr="002C2F74">
        <w:rPr>
          <w:rFonts w:cs="Times New Roman"/>
        </w:rPr>
        <w:t xml:space="preserve">s were </w:t>
      </w:r>
      <w:r w:rsidR="00FC2071" w:rsidRPr="002C2F74">
        <w:rPr>
          <w:rFonts w:cs="Times New Roman"/>
        </w:rPr>
        <w:t>mapped on</w:t>
      </w:r>
      <w:r w:rsidR="00614DFB" w:rsidRPr="002C2F74">
        <w:rPr>
          <w:rFonts w:cs="Times New Roman"/>
        </w:rPr>
        <w:t>to the reference genome</w:t>
      </w:r>
      <w:r w:rsidR="00FC2071" w:rsidRPr="002C2F74">
        <w:rPr>
          <w:rFonts w:cs="Times New Roman"/>
        </w:rPr>
        <w:t xml:space="preserve"> (GENCODE v34), using STAR (v. 2.7.10b)</w:t>
      </w:r>
      <w:r w:rsidR="003B160E" w:rsidRPr="002C2F74">
        <w:rPr>
          <w:rFonts w:cs="Times New Roman"/>
        </w:rPr>
        <w:t>, which generates</w:t>
      </w:r>
      <w:r w:rsidR="00614DFB" w:rsidRPr="002C2F74">
        <w:rPr>
          <w:rFonts w:cs="Times New Roman"/>
        </w:rPr>
        <w:t xml:space="preserve"> BAM files</w:t>
      </w:r>
      <w:r w:rsidR="007375FC" w:rsidRPr="002C2F74">
        <w:rPr>
          <w:rFonts w:cs="Times New Roman"/>
        </w:rPr>
        <w:t xml:space="preserve">. Then </w:t>
      </w:r>
      <w:proofErr w:type="spellStart"/>
      <w:r w:rsidR="007375FC" w:rsidRPr="002C2F74">
        <w:rPr>
          <w:rFonts w:cs="Times New Roman"/>
        </w:rPr>
        <w:t>rMATS</w:t>
      </w:r>
      <w:proofErr w:type="spellEnd"/>
      <w:r w:rsidR="007375FC" w:rsidRPr="002C2F74">
        <w:rPr>
          <w:rFonts w:cs="Times New Roman"/>
        </w:rPr>
        <w:t xml:space="preserve">-Turbo was run on the BAM </w:t>
      </w:r>
      <w:r w:rsidR="00C24EEE" w:rsidRPr="002C2F74">
        <w:rPr>
          <w:rFonts w:cs="Times New Roman"/>
        </w:rPr>
        <w:t xml:space="preserve">files </w:t>
      </w:r>
      <w:r w:rsidR="007375FC" w:rsidRPr="002C2F74">
        <w:rPr>
          <w:rFonts w:cs="Times New Roman"/>
        </w:rPr>
        <w:t>using the following</w:t>
      </w:r>
      <w:r w:rsidR="00614DFB" w:rsidRPr="002C2F74">
        <w:rPr>
          <w:rFonts w:cs="Times New Roman"/>
        </w:rPr>
        <w:t xml:space="preserve"> parameters</w:t>
      </w:r>
      <w:r w:rsidR="007375FC" w:rsidRPr="002C2F74">
        <w:rPr>
          <w:rFonts w:cs="Times New Roman"/>
        </w:rPr>
        <w:t>:</w:t>
      </w:r>
      <w:r w:rsidR="00614DFB" w:rsidRPr="002C2F74">
        <w:rPr>
          <w:rFonts w:cs="Times New Roman"/>
        </w:rPr>
        <w:t xml:space="preserve"> “--</w:t>
      </w:r>
      <w:proofErr w:type="spellStart"/>
      <w:r w:rsidR="00614DFB" w:rsidRPr="002C2F74">
        <w:rPr>
          <w:rFonts w:cs="Times New Roman"/>
        </w:rPr>
        <w:t>chimSegmentMin</w:t>
      </w:r>
      <w:proofErr w:type="spellEnd"/>
      <w:r w:rsidR="00614DFB" w:rsidRPr="002C2F74">
        <w:rPr>
          <w:rFonts w:cs="Times New Roman"/>
        </w:rPr>
        <w:t xml:space="preserve"> 2 </w:t>
      </w:r>
      <w:r w:rsidR="00213F29" w:rsidRPr="002C2F74">
        <w:rPr>
          <w:rFonts w:cs="Times New Roman"/>
        </w:rPr>
        <w:t>–</w:t>
      </w:r>
      <w:proofErr w:type="spellStart"/>
      <w:r w:rsidR="00614DFB" w:rsidRPr="002C2F74">
        <w:rPr>
          <w:rFonts w:cs="Times New Roman"/>
        </w:rPr>
        <w:t>outFilterMismatchNmax</w:t>
      </w:r>
      <w:proofErr w:type="spellEnd"/>
      <w:r w:rsidR="00213F29" w:rsidRPr="002C2F74">
        <w:rPr>
          <w:rFonts w:cs="Times New Roman"/>
        </w:rPr>
        <w:t xml:space="preserve"> </w:t>
      </w:r>
      <w:r w:rsidR="00614DFB" w:rsidRPr="002C2F74">
        <w:rPr>
          <w:rFonts w:cs="Times New Roman"/>
        </w:rPr>
        <w:t>3 --</w:t>
      </w:r>
      <w:proofErr w:type="spellStart"/>
      <w:r w:rsidR="00614DFB" w:rsidRPr="002C2F74">
        <w:rPr>
          <w:rFonts w:cs="Times New Roman"/>
        </w:rPr>
        <w:t>twopassMode</w:t>
      </w:r>
      <w:proofErr w:type="spellEnd"/>
      <w:r w:rsidR="00614DFB" w:rsidRPr="002C2F74">
        <w:rPr>
          <w:rFonts w:cs="Times New Roman"/>
        </w:rPr>
        <w:t xml:space="preserve"> Basic --</w:t>
      </w:r>
      <w:proofErr w:type="spellStart"/>
      <w:r w:rsidR="00614DFB" w:rsidRPr="002C2F74">
        <w:rPr>
          <w:rFonts w:cs="Times New Roman"/>
        </w:rPr>
        <w:t>alignEndsType</w:t>
      </w:r>
      <w:proofErr w:type="spellEnd"/>
      <w:r w:rsidR="00614DFB" w:rsidRPr="002C2F74">
        <w:rPr>
          <w:rFonts w:cs="Times New Roman"/>
        </w:rPr>
        <w:t xml:space="preserve"> </w:t>
      </w:r>
      <w:proofErr w:type="spellStart"/>
      <w:r w:rsidR="00614DFB" w:rsidRPr="002C2F74">
        <w:rPr>
          <w:rFonts w:cs="Times New Roman"/>
        </w:rPr>
        <w:t>EndToEnd</w:t>
      </w:r>
      <w:proofErr w:type="spellEnd"/>
      <w:r w:rsidR="00614DFB" w:rsidRPr="002C2F74">
        <w:rPr>
          <w:rFonts w:cs="Times New Roman"/>
        </w:rPr>
        <w:t xml:space="preserve"> --</w:t>
      </w:r>
      <w:proofErr w:type="spellStart"/>
      <w:r w:rsidR="00614DFB" w:rsidRPr="002C2F74">
        <w:rPr>
          <w:rFonts w:cs="Times New Roman"/>
        </w:rPr>
        <w:t>alignSJDBoverhangMin</w:t>
      </w:r>
      <w:proofErr w:type="spellEnd"/>
      <w:r w:rsidR="00614DFB" w:rsidRPr="002C2F74">
        <w:rPr>
          <w:rFonts w:cs="Times New Roman"/>
        </w:rPr>
        <w:t xml:space="preserve"> 1 --</w:t>
      </w:r>
      <w:proofErr w:type="spellStart"/>
      <w:r w:rsidR="00614DFB" w:rsidRPr="002C2F74">
        <w:rPr>
          <w:rFonts w:cs="Times New Roman"/>
        </w:rPr>
        <w:t>alignIntronMax</w:t>
      </w:r>
      <w:proofErr w:type="spellEnd"/>
      <w:r w:rsidR="00614DFB" w:rsidRPr="002C2F74">
        <w:rPr>
          <w:rFonts w:cs="Times New Roman"/>
        </w:rPr>
        <w:t xml:space="preserve"> 299999”. </w:t>
      </w:r>
    </w:p>
    <w:p w14:paraId="40A26A83" w14:textId="2E003E94" w:rsidR="00614DFB" w:rsidRPr="002C2F74" w:rsidRDefault="00614DFB" w:rsidP="00067661">
      <w:pPr>
        <w:snapToGrid w:val="0"/>
        <w:spacing w:line="276" w:lineRule="auto"/>
        <w:ind w:firstLine="420"/>
        <w:rPr>
          <w:rFonts w:cs="Times New Roman"/>
        </w:rPr>
      </w:pPr>
      <w:r w:rsidRPr="002C2F74">
        <w:rPr>
          <w:rFonts w:cs="Times New Roman"/>
        </w:rPr>
        <w:t>We specified the read</w:t>
      </w:r>
      <w:r w:rsidR="009C05ED" w:rsidRPr="002C2F74">
        <w:rPr>
          <w:rFonts w:cs="Times New Roman" w:hint="eastAsia"/>
        </w:rPr>
        <w:t>s</w:t>
      </w:r>
      <w:r w:rsidRPr="002C2F74">
        <w:rPr>
          <w:rFonts w:cs="Times New Roman"/>
        </w:rPr>
        <w:t xml:space="preserve"> type, length, and strand specificity with “-t paired --</w:t>
      </w:r>
      <w:proofErr w:type="spellStart"/>
      <w:r w:rsidRPr="002C2F74">
        <w:rPr>
          <w:rFonts w:cs="Times New Roman"/>
        </w:rPr>
        <w:t>readLength</w:t>
      </w:r>
      <w:proofErr w:type="spellEnd"/>
      <w:r w:rsidRPr="002C2F74">
        <w:rPr>
          <w:rFonts w:cs="Times New Roman"/>
        </w:rPr>
        <w:t xml:space="preserve"> 101 --variable-read-length --</w:t>
      </w:r>
      <w:proofErr w:type="spellStart"/>
      <w:r w:rsidRPr="002C2F74">
        <w:rPr>
          <w:rFonts w:cs="Times New Roman"/>
        </w:rPr>
        <w:t>libType</w:t>
      </w:r>
      <w:proofErr w:type="spellEnd"/>
      <w:r w:rsidRPr="002C2F74">
        <w:rPr>
          <w:rFonts w:cs="Times New Roman"/>
        </w:rPr>
        <w:t xml:space="preserve"> </w:t>
      </w:r>
      <w:proofErr w:type="spellStart"/>
      <w:r w:rsidRPr="002C2F74">
        <w:rPr>
          <w:rFonts w:cs="Times New Roman"/>
        </w:rPr>
        <w:t>fr-firststrand</w:t>
      </w:r>
      <w:proofErr w:type="spellEnd"/>
      <w:r w:rsidRPr="002C2F74">
        <w:rPr>
          <w:rFonts w:cs="Times New Roman"/>
        </w:rPr>
        <w:t xml:space="preserve">”. </w:t>
      </w:r>
      <w:proofErr w:type="spellStart"/>
      <w:r w:rsidR="00067661" w:rsidRPr="002C2F74">
        <w:rPr>
          <w:rFonts w:cs="Times New Roman"/>
        </w:rPr>
        <w:t>rMATS</w:t>
      </w:r>
      <w:proofErr w:type="spellEnd"/>
      <w:r w:rsidR="00067661" w:rsidRPr="002C2F74">
        <w:rPr>
          <w:rFonts w:cs="Times New Roman"/>
        </w:rPr>
        <w:t xml:space="preserve"> is used to identify </w:t>
      </w:r>
      <w:r w:rsidRPr="002C2F74">
        <w:rPr>
          <w:rFonts w:cs="Times New Roman"/>
        </w:rPr>
        <w:t xml:space="preserve">splicing </w:t>
      </w:r>
      <w:r w:rsidR="00067661" w:rsidRPr="002C2F74">
        <w:rPr>
          <w:rFonts w:cs="Times New Roman"/>
        </w:rPr>
        <w:t xml:space="preserve">events with p-values &lt; 0.05 and classify them into one of the following five types: </w:t>
      </w:r>
      <w:r w:rsidRPr="002C2F74">
        <w:rPr>
          <w:rFonts w:cs="Times New Roman"/>
        </w:rPr>
        <w:t xml:space="preserve">SE (skipped exon), A5SS (alternative 5’ splice site), A3SS (alternative 3’ splice site), MXE (mutually exclusive exon), and RI (retained intron). </w:t>
      </w:r>
      <w:r w:rsidR="00067661" w:rsidRPr="002C2F74">
        <w:rPr>
          <w:rFonts w:cs="Times New Roman"/>
        </w:rPr>
        <w:t>Then one more round of filtering is conducted to remove splicing events with</w:t>
      </w:r>
      <w:r w:rsidRPr="002C2F74">
        <w:rPr>
          <w:rFonts w:cs="Times New Roman"/>
        </w:rPr>
        <w:t xml:space="preserve"> |ΔPSI| &gt; 0.05</w:t>
      </w:r>
      <w:r w:rsidR="00067661" w:rsidRPr="002C2F74">
        <w:rPr>
          <w:rFonts w:cs="Times New Roman"/>
        </w:rPr>
        <w:t>, where PSI is for Percent Spliced In</w:t>
      </w:r>
      <w:r w:rsidR="002511D1" w:rsidRPr="002C2F74">
        <w:rPr>
          <w:rFonts w:cs="Times New Roman" w:hint="eastAsia"/>
        </w:rPr>
        <w:t xml:space="preserve"> </w:t>
      </w:r>
      <w:r w:rsidR="004B3D64" w:rsidRPr="002C2F74">
        <w:rPr>
          <w:rFonts w:cs="Times New Roman"/>
        </w:rPr>
        <w:fldChar w:fldCharType="begin"/>
      </w:r>
      <w:r w:rsidR="004B3D64" w:rsidRPr="002C2F74">
        <w:rPr>
          <w:rFonts w:cs="Times New Roman"/>
        </w:rPr>
        <w:instrText xml:space="preserve"> ADDIN ZOTERO_ITEM CSL_CITATION {"citationID":"QvD1nRm0","properties":{"formattedCitation":"[37]","plainCitation":"[37]","noteIndex":0},"citationItems":[{"id":7052,"uris":["http://zotero.org/users/5158171/items/RGF9CDAC"],"itemData":{"id":7052,"type":"article-journal","abstract":"Alternative splicing plays an important role in many cellular processes of eukaryotic organisms. The exon-inclusion ratio, also known as percent spliced in, is often regarded as one of the most effective measures of alternative splicing events. The existing methods for estimating exon-inclusion ratios at the genome scale all require the existence of a reference transcriptome. In this paper, we propose an alignment-free method, FreePSI, to perform genome-wide estimation of exon-inclusion ratios from RNA-Seq data without relying on the guidance of a reference transcriptome. It uses a novel probabilistic generative model based on k-mer profiles to quantify the exon-inclusion ratios at the genome scale and an efficient expectation-maximization algorithm based on a divide-and-conquer strategy and ultrafast conjugate gradient projection descent method to solve the model. We compare FreePSI with the existing methods on simulated and real RNA-seq data in terms of both accuracy and efficiency and show that it is able to achieve very good performance even though a reference transcriptome is not provided. Our results suggest that FreePSI may have important applications in performing alternative splicing analysis for organisms that do not have quality reference transcriptomes. FreePSI is implemented in C++ and freely available to the public on GitHub.","container-title":"Nucleic Acids Research","DOI":"10.1093/nar/gkx1059","ISSN":"0305-1048","issue":"2","journalAbbreviation":"Nucleic Acids Research","page":"e11","source":"Silverchair","title":"FreePSI: an alignment-free approach to estimating exon-inclusion ratios without a reference transcriptome","title-short":"FreePSI","volume":"46","author":[{"family":"Zhou","given":"Jianyu"},{"family":"Ma","given":"Shining"},{"family":"Wang","given":"Dongfang"},{"family":"Zeng","given":"Jianyang"},{"family":"Jiang","given":"Tao"}],"issued":{"date-parts":[["2018",1,25]]}}}],"schema":"https://github.com/citation-style-language/schema/raw/master/csl-citation.json"} </w:instrText>
      </w:r>
      <w:r w:rsidR="004B3D64" w:rsidRPr="002C2F74">
        <w:rPr>
          <w:rFonts w:cs="Times New Roman"/>
        </w:rPr>
        <w:fldChar w:fldCharType="separate"/>
      </w:r>
      <w:r w:rsidR="004B3D64" w:rsidRPr="002C2F74">
        <w:rPr>
          <w:rFonts w:cs="Times New Roman"/>
        </w:rPr>
        <w:t>[37]</w:t>
      </w:r>
      <w:r w:rsidR="004B3D64" w:rsidRPr="002C2F74">
        <w:rPr>
          <w:rFonts w:cs="Times New Roman"/>
        </w:rPr>
        <w:fldChar w:fldCharType="end"/>
      </w:r>
      <w:r w:rsidR="00067661" w:rsidRPr="002C2F74">
        <w:rPr>
          <w:rFonts w:cs="Times New Roman" w:hint="eastAsia"/>
        </w:rPr>
        <w:t>,</w:t>
      </w:r>
      <w:r w:rsidR="00067661" w:rsidRPr="002C2F74">
        <w:rPr>
          <w:rFonts w:cs="Times New Roman"/>
        </w:rPr>
        <w:t xml:space="preserve"> used to measure </w:t>
      </w:r>
      <w:r w:rsidR="006343D5" w:rsidRPr="002C2F74">
        <w:rPr>
          <w:rFonts w:cs="Times New Roman"/>
        </w:rPr>
        <w:t>the proportion of transcripts that include a particular exon or splicing event compared to the total number of transcripts</w:t>
      </w:r>
      <w:r w:rsidRPr="002C2F74">
        <w:rPr>
          <w:rFonts w:cs="Times New Roman"/>
        </w:rPr>
        <w:t>.</w:t>
      </w:r>
    </w:p>
    <w:p w14:paraId="367AE0D5" w14:textId="77777777" w:rsidR="00A163C1" w:rsidRPr="002C2F74" w:rsidRDefault="00A163C1" w:rsidP="00A163C1">
      <w:pPr>
        <w:snapToGrid w:val="0"/>
        <w:spacing w:line="276" w:lineRule="auto"/>
        <w:ind w:firstLine="420"/>
        <w:rPr>
          <w:rFonts w:cs="Times New Roman"/>
        </w:rPr>
      </w:pPr>
    </w:p>
    <w:p w14:paraId="4DD87E83" w14:textId="77F3F96F" w:rsidR="00D61E47" w:rsidRPr="002C2F74" w:rsidRDefault="00D61E47" w:rsidP="00A163C1">
      <w:pPr>
        <w:snapToGrid w:val="0"/>
        <w:spacing w:line="276" w:lineRule="auto"/>
        <w:rPr>
          <w:rFonts w:eastAsiaTheme="minorEastAsia" w:cs="Times New Roman"/>
          <w:b/>
          <w:bCs/>
        </w:rPr>
      </w:pPr>
      <w:r w:rsidRPr="002C2F74">
        <w:rPr>
          <w:rFonts w:eastAsiaTheme="minorEastAsia" w:cs="Times New Roman"/>
          <w:b/>
          <w:bCs/>
        </w:rPr>
        <w:t xml:space="preserve">4.2.6. </w:t>
      </w:r>
      <w:r w:rsidR="00130CF1" w:rsidRPr="002C2F74">
        <w:rPr>
          <w:rFonts w:eastAsiaTheme="minorEastAsia" w:cs="Times New Roman"/>
          <w:b/>
          <w:bCs/>
        </w:rPr>
        <w:t xml:space="preserve">Gene set </w:t>
      </w:r>
      <w:r w:rsidR="00044708" w:rsidRPr="002C2F74">
        <w:rPr>
          <w:rFonts w:eastAsiaTheme="minorEastAsia" w:cs="Times New Roman"/>
          <w:b/>
          <w:bCs/>
        </w:rPr>
        <w:t xml:space="preserve">enrichment analyses </w:t>
      </w:r>
      <w:r w:rsidR="00130CF1" w:rsidRPr="002C2F74">
        <w:rPr>
          <w:rFonts w:eastAsiaTheme="minorEastAsia" w:cs="Times New Roman"/>
          <w:b/>
          <w:bCs/>
        </w:rPr>
        <w:t xml:space="preserve">for individual samples using </w:t>
      </w:r>
      <w:proofErr w:type="spellStart"/>
      <w:r w:rsidR="00130CF1" w:rsidRPr="002C2F74">
        <w:rPr>
          <w:rFonts w:eastAsiaTheme="minorEastAsia" w:cs="Times New Roman"/>
          <w:b/>
          <w:bCs/>
        </w:rPr>
        <w:t>gsva</w:t>
      </w:r>
      <w:proofErr w:type="spellEnd"/>
    </w:p>
    <w:p w14:paraId="43BEC3FF" w14:textId="1B3473F0" w:rsidR="00C938E8" w:rsidRPr="002C2F74" w:rsidRDefault="00D61E47" w:rsidP="00A163C1">
      <w:pPr>
        <w:snapToGrid w:val="0"/>
        <w:spacing w:line="276" w:lineRule="auto"/>
        <w:ind w:firstLine="420"/>
        <w:rPr>
          <w:rFonts w:eastAsiaTheme="minorEastAsia" w:cs="Times New Roman"/>
        </w:rPr>
      </w:pPr>
      <w:r w:rsidRPr="002C2F74">
        <w:rPr>
          <w:rFonts w:eastAsiaTheme="minorEastAsia" w:cs="Times New Roman"/>
        </w:rPr>
        <w:t xml:space="preserve">To perform gene set enrichment analysis (GSEA) </w:t>
      </w:r>
      <w:r w:rsidR="003A7F0E" w:rsidRPr="002C2F74">
        <w:rPr>
          <w:rFonts w:eastAsiaTheme="minorEastAsia" w:cs="Times New Roman"/>
        </w:rPr>
        <w:t xml:space="preserve">on </w:t>
      </w:r>
      <w:r w:rsidRPr="002C2F74">
        <w:rPr>
          <w:rFonts w:eastAsiaTheme="minorEastAsia" w:cs="Times New Roman"/>
        </w:rPr>
        <w:t>individual sample</w:t>
      </w:r>
      <w:r w:rsidR="003A7F0E" w:rsidRPr="002C2F74">
        <w:rPr>
          <w:rFonts w:eastAsiaTheme="minorEastAsia" w:cs="Times New Roman"/>
        </w:rPr>
        <w:t>s</w:t>
      </w:r>
      <w:r w:rsidRPr="002C2F74">
        <w:rPr>
          <w:rFonts w:eastAsiaTheme="minorEastAsia" w:cs="Times New Roman"/>
        </w:rPr>
        <w:t>, we used the "</w:t>
      </w:r>
      <w:proofErr w:type="spellStart"/>
      <w:r w:rsidRPr="002C2F74">
        <w:rPr>
          <w:rFonts w:eastAsiaTheme="minorEastAsia" w:cs="Times New Roman"/>
        </w:rPr>
        <w:t>gsva</w:t>
      </w:r>
      <w:proofErr w:type="spellEnd"/>
      <w:r w:rsidRPr="002C2F74">
        <w:rPr>
          <w:rFonts w:eastAsiaTheme="minorEastAsia" w:cs="Times New Roman"/>
        </w:rPr>
        <w:t>()" function in R with the "</w:t>
      </w:r>
      <w:proofErr w:type="spellStart"/>
      <w:r w:rsidRPr="002C2F74">
        <w:rPr>
          <w:rFonts w:eastAsiaTheme="minorEastAsia" w:cs="Times New Roman"/>
        </w:rPr>
        <w:t>ssgsea</w:t>
      </w:r>
      <w:proofErr w:type="spellEnd"/>
      <w:r w:rsidRPr="002C2F74">
        <w:rPr>
          <w:rFonts w:eastAsiaTheme="minorEastAsia" w:cs="Times New Roman"/>
        </w:rPr>
        <w:t>" method</w:t>
      </w:r>
      <w:r w:rsidR="00E141E0" w:rsidRPr="002C2F74">
        <w:rPr>
          <w:rFonts w:eastAsiaTheme="minorEastAsia" w:cs="Times New Roman"/>
        </w:rPr>
        <w:t xml:space="preserve"> </w:t>
      </w:r>
      <w:r w:rsidR="00E141E0" w:rsidRPr="002C2F74">
        <w:rPr>
          <w:rFonts w:eastAsiaTheme="minorEastAsia" w:cs="Times New Roman"/>
        </w:rPr>
        <w:fldChar w:fldCharType="begin"/>
      </w:r>
      <w:r w:rsidR="004B3D64" w:rsidRPr="002C2F74">
        <w:rPr>
          <w:rFonts w:eastAsiaTheme="minorEastAsia" w:cs="Times New Roman"/>
        </w:rPr>
        <w:instrText xml:space="preserve"> ADDIN ZOTERO_ITEM CSL_CITATION {"citationID":"XTLO713X","properties":{"formattedCitation":"[38]","plainCitation":"[38]","noteIndex":0},"citationItems":[{"id":538,"uris":["http://zotero.org/users/5158171/items/BL3XPHCI"],"itemData":{"id":538,"type":"article-journal","container-title":"Proceedings of the National Academy of Sciences","DOI":"10.1073/pnas.0506580102","ISSN":"0027-8424, 1091-6490","issue":"43","journalAbbreviation":"Proceedings of the National Academy of Sciences","language":"en","page":"15545-15550","source":"DOI.org (Crossref)","title":"Gene set enrichment analysis: A knowledge-based approach for interpreting genome-wide expression profiles","title-short":"Gene set enrichment analysis","volume":"102","author":[{"family":"Subramanian","given":"A."},{"family":"Tamayo","given":"P."},{"family":"Mootha","given":"V. K."},{"family":"Mukherjee","given":"S."},{"family":"Ebert","given":"B. L."},{"family":"Gillette","given":"M. A."},{"family":"Paulovich","given":"A."},{"family":"Pomeroy","given":"S. L."},{"family":"Golub","given":"T. R."},{"family":"Lander","given":"E. S."},{"family":"Mesirov","given":"J. P."}],"issued":{"date-parts":[["2005",10,25]]}}}],"schema":"https://github.com/citation-style-language/schema/raw/master/csl-citation.json"} </w:instrText>
      </w:r>
      <w:r w:rsidR="00E141E0" w:rsidRPr="002C2F74">
        <w:rPr>
          <w:rFonts w:eastAsiaTheme="minorEastAsia" w:cs="Times New Roman"/>
        </w:rPr>
        <w:fldChar w:fldCharType="separate"/>
      </w:r>
      <w:r w:rsidR="004B3D64" w:rsidRPr="002C2F74">
        <w:rPr>
          <w:rFonts w:cs="Times New Roman"/>
        </w:rPr>
        <w:t>[38]</w:t>
      </w:r>
      <w:r w:rsidR="00E141E0" w:rsidRPr="002C2F74">
        <w:rPr>
          <w:rFonts w:eastAsiaTheme="minorEastAsia" w:cs="Times New Roman"/>
        </w:rPr>
        <w:fldChar w:fldCharType="end"/>
      </w:r>
      <w:r w:rsidRPr="002C2F74">
        <w:rPr>
          <w:rFonts w:eastAsiaTheme="minorEastAsia" w:cs="Times New Roman"/>
        </w:rPr>
        <w:t>. This approach ranks gene</w:t>
      </w:r>
      <w:r w:rsidR="00067661" w:rsidRPr="002C2F74">
        <w:rPr>
          <w:rFonts w:eastAsiaTheme="minorEastAsia" w:cs="Times New Roman"/>
        </w:rPr>
        <w:t>s based on their</w:t>
      </w:r>
      <w:r w:rsidRPr="002C2F74">
        <w:rPr>
          <w:rFonts w:eastAsiaTheme="minorEastAsia" w:cs="Times New Roman"/>
        </w:rPr>
        <w:t xml:space="preserve"> expression </w:t>
      </w:r>
      <w:r w:rsidR="00067661" w:rsidRPr="002C2F74">
        <w:rPr>
          <w:rFonts w:eastAsiaTheme="minorEastAsia" w:cs="Times New Roman"/>
        </w:rPr>
        <w:t xml:space="preserve">levels </w:t>
      </w:r>
      <w:r w:rsidRPr="002C2F74">
        <w:rPr>
          <w:rFonts w:eastAsiaTheme="minorEastAsia" w:cs="Times New Roman"/>
        </w:rPr>
        <w:t xml:space="preserve">and calculates </w:t>
      </w:r>
      <w:r w:rsidR="00067661" w:rsidRPr="002C2F74">
        <w:rPr>
          <w:rFonts w:eastAsiaTheme="minorEastAsia" w:cs="Times New Roman"/>
        </w:rPr>
        <w:t xml:space="preserve">the </w:t>
      </w:r>
      <w:r w:rsidRPr="002C2F74">
        <w:rPr>
          <w:rFonts w:eastAsiaTheme="minorEastAsia" w:cs="Times New Roman"/>
        </w:rPr>
        <w:t>enrichment score for each gene set</w:t>
      </w:r>
      <w:r w:rsidR="005A5A48" w:rsidRPr="002C2F74">
        <w:rPr>
          <w:rFonts w:eastAsiaTheme="minorEastAsia" w:cs="Times New Roman"/>
        </w:rPr>
        <w:t>, where a</w:t>
      </w:r>
      <w:r w:rsidRPr="002C2F74">
        <w:rPr>
          <w:rFonts w:eastAsiaTheme="minorEastAsia" w:cs="Times New Roman"/>
        </w:rPr>
        <w:t xml:space="preserve"> </w:t>
      </w:r>
      <w:r w:rsidR="005A5A48" w:rsidRPr="002C2F74">
        <w:rPr>
          <w:rFonts w:eastAsiaTheme="minorEastAsia" w:cs="Times New Roman"/>
        </w:rPr>
        <w:t>p</w:t>
      </w:r>
      <w:r w:rsidRPr="002C2F74">
        <w:rPr>
          <w:rFonts w:eastAsiaTheme="minorEastAsia" w:cs="Times New Roman"/>
        </w:rPr>
        <w:t>ositive score indicate</w:t>
      </w:r>
      <w:r w:rsidR="005A5A48" w:rsidRPr="002C2F74">
        <w:rPr>
          <w:rFonts w:eastAsiaTheme="minorEastAsia" w:cs="Times New Roman"/>
        </w:rPr>
        <w:t>s</w:t>
      </w:r>
      <w:r w:rsidRPr="002C2F74">
        <w:rPr>
          <w:rFonts w:eastAsiaTheme="minorEastAsia" w:cs="Times New Roman"/>
        </w:rPr>
        <w:t xml:space="preserve"> that genes in the set are highly expressed, while </w:t>
      </w:r>
      <w:r w:rsidR="005A5A48" w:rsidRPr="002C2F74">
        <w:rPr>
          <w:rFonts w:eastAsiaTheme="minorEastAsia" w:cs="Times New Roman"/>
        </w:rPr>
        <w:t xml:space="preserve">a </w:t>
      </w:r>
      <w:r w:rsidRPr="002C2F74">
        <w:rPr>
          <w:rFonts w:eastAsiaTheme="minorEastAsia" w:cs="Times New Roman"/>
        </w:rPr>
        <w:t xml:space="preserve">negative score </w:t>
      </w:r>
      <w:r w:rsidR="005A5A48" w:rsidRPr="002C2F74">
        <w:rPr>
          <w:rFonts w:eastAsiaTheme="minorEastAsia" w:cs="Times New Roman"/>
        </w:rPr>
        <w:t>otherwise</w:t>
      </w:r>
      <w:r w:rsidRPr="002C2F74">
        <w:rPr>
          <w:rFonts w:eastAsiaTheme="minorEastAsia" w:cs="Times New Roman"/>
        </w:rPr>
        <w:t>.</w:t>
      </w:r>
    </w:p>
    <w:p w14:paraId="3E36FE18" w14:textId="77777777" w:rsidR="00A163C1" w:rsidRPr="002C2F74" w:rsidRDefault="00A163C1" w:rsidP="00A163C1">
      <w:pPr>
        <w:snapToGrid w:val="0"/>
        <w:spacing w:line="276" w:lineRule="auto"/>
        <w:ind w:firstLine="420"/>
        <w:rPr>
          <w:rFonts w:eastAsiaTheme="minorEastAsia" w:cs="Times New Roman"/>
        </w:rPr>
      </w:pPr>
    </w:p>
    <w:p w14:paraId="1EB9F305" w14:textId="7D32E8D4" w:rsidR="00E6714E" w:rsidRPr="002C2F74" w:rsidRDefault="00E6714E" w:rsidP="00A163C1">
      <w:pPr>
        <w:snapToGrid w:val="0"/>
        <w:spacing w:line="276" w:lineRule="auto"/>
        <w:rPr>
          <w:rFonts w:cs="Times New Roman"/>
          <w:b/>
          <w:bCs/>
        </w:rPr>
      </w:pPr>
      <w:r w:rsidRPr="002C2F74">
        <w:rPr>
          <w:rFonts w:cs="Times New Roman"/>
          <w:b/>
          <w:bCs/>
        </w:rPr>
        <w:t>4.2.</w:t>
      </w:r>
      <w:r w:rsidR="00D110FD" w:rsidRPr="002C2F74">
        <w:rPr>
          <w:rFonts w:cs="Times New Roman"/>
          <w:b/>
          <w:bCs/>
        </w:rPr>
        <w:t>7</w:t>
      </w:r>
      <w:r w:rsidRPr="002C2F74">
        <w:rPr>
          <w:rFonts w:cs="Times New Roman"/>
          <w:b/>
          <w:bCs/>
        </w:rPr>
        <w:t xml:space="preserve">. </w:t>
      </w:r>
      <w:r w:rsidR="004612DE" w:rsidRPr="002C2F74">
        <w:rPr>
          <w:rFonts w:cs="Times New Roman"/>
          <w:b/>
          <w:bCs/>
        </w:rPr>
        <w:t xml:space="preserve">Regression </w:t>
      </w:r>
      <w:r w:rsidR="00130CF1" w:rsidRPr="002C2F74">
        <w:rPr>
          <w:rFonts w:cs="Times New Roman"/>
          <w:b/>
          <w:bCs/>
        </w:rPr>
        <w:t>a</w:t>
      </w:r>
      <w:r w:rsidR="004612DE" w:rsidRPr="002C2F74">
        <w:rPr>
          <w:rFonts w:cs="Times New Roman"/>
          <w:b/>
          <w:bCs/>
        </w:rPr>
        <w:t>nalys</w:t>
      </w:r>
      <w:r w:rsidR="00044708" w:rsidRPr="002C2F74">
        <w:rPr>
          <w:rFonts w:cs="Times New Roman"/>
          <w:b/>
          <w:bCs/>
        </w:rPr>
        <w:t>e</w:t>
      </w:r>
      <w:r w:rsidR="004612DE" w:rsidRPr="002C2F74">
        <w:rPr>
          <w:rFonts w:cs="Times New Roman"/>
          <w:b/>
          <w:bCs/>
        </w:rPr>
        <w:t>s</w:t>
      </w:r>
    </w:p>
    <w:p w14:paraId="67CEBCEE" w14:textId="27975B21" w:rsidR="00213F29" w:rsidRPr="002C2F74" w:rsidRDefault="00213F29" w:rsidP="00457BF9">
      <w:pPr>
        <w:snapToGrid w:val="0"/>
        <w:spacing w:line="276" w:lineRule="auto"/>
        <w:ind w:firstLine="420"/>
        <w:rPr>
          <w:rFonts w:cs="Times New Roman"/>
        </w:rPr>
      </w:pPr>
      <w:r w:rsidRPr="002C2F74">
        <w:rPr>
          <w:rFonts w:cs="Times New Roman"/>
        </w:rPr>
        <w:t xml:space="preserve">To assess </w:t>
      </w:r>
      <w:r w:rsidR="006A6A65" w:rsidRPr="002C2F74">
        <w:rPr>
          <w:rFonts w:cs="Times New Roman"/>
        </w:rPr>
        <w:t xml:space="preserve">the </w:t>
      </w:r>
      <w:r w:rsidRPr="002C2F74">
        <w:rPr>
          <w:rFonts w:cs="Times New Roman"/>
        </w:rPr>
        <w:t>co-expression</w:t>
      </w:r>
      <w:r w:rsidR="006A6A65" w:rsidRPr="002C2F74">
        <w:rPr>
          <w:rFonts w:cs="Times New Roman"/>
        </w:rPr>
        <w:t xml:space="preserve"> level</w:t>
      </w:r>
      <w:r w:rsidRPr="002C2F74">
        <w:rPr>
          <w:rFonts w:cs="Times New Roman"/>
        </w:rPr>
        <w:t xml:space="preserve"> between an individual gene </w:t>
      </w:r>
      <w:r w:rsidR="002D2AD9" w:rsidRPr="002C2F74">
        <w:rPr>
          <w:rFonts w:cs="Times New Roman"/>
        </w:rPr>
        <w:t xml:space="preserve">g </w:t>
      </w:r>
      <w:r w:rsidRPr="002C2F74">
        <w:rPr>
          <w:rFonts w:cs="Times New Roman"/>
        </w:rPr>
        <w:t>and a gene set</w:t>
      </w:r>
      <w:r w:rsidR="002D2AD9" w:rsidRPr="002C2F74">
        <w:rPr>
          <w:rFonts w:cs="Times New Roman"/>
        </w:rPr>
        <w:t xml:space="preserve"> M</w:t>
      </w:r>
      <w:r w:rsidRPr="002C2F74">
        <w:rPr>
          <w:rFonts w:cs="Times New Roman"/>
        </w:rPr>
        <w:t xml:space="preserve">, we employed a principal component-based approach. Principal components (PCs) were </w:t>
      </w:r>
      <w:r w:rsidR="006A6A65" w:rsidRPr="002C2F74">
        <w:rPr>
          <w:rFonts w:cs="Times New Roman"/>
        </w:rPr>
        <w:t xml:space="preserve">calculated using </w:t>
      </w:r>
      <w:r w:rsidRPr="002C2F74">
        <w:rPr>
          <w:rFonts w:cs="Times New Roman"/>
        </w:rPr>
        <w:t xml:space="preserve">the expression </w:t>
      </w:r>
      <w:r w:rsidR="006A6A65" w:rsidRPr="002C2F74">
        <w:rPr>
          <w:rFonts w:cs="Times New Roman"/>
        </w:rPr>
        <w:t>levels of the genes in the set across the specified samples.</w:t>
      </w:r>
      <w:r w:rsidRPr="002C2F74">
        <w:rPr>
          <w:rFonts w:cs="Times New Roman"/>
        </w:rPr>
        <w:t xml:space="preserve"> PCs </w:t>
      </w:r>
      <w:r w:rsidR="002D2AD9" w:rsidRPr="002C2F74">
        <w:rPr>
          <w:rFonts w:cs="Times New Roman" w:hint="eastAsia"/>
        </w:rPr>
        <w:t>that</w:t>
      </w:r>
      <w:r w:rsidR="002D2AD9" w:rsidRPr="002C2F74">
        <w:rPr>
          <w:rFonts w:cs="Times New Roman"/>
        </w:rPr>
        <w:t xml:space="preserve"> can </w:t>
      </w:r>
      <w:r w:rsidR="00457BF9" w:rsidRPr="002C2F74">
        <w:rPr>
          <w:rFonts w:cs="Times New Roman"/>
        </w:rPr>
        <w:t xml:space="preserve">collectively </w:t>
      </w:r>
      <w:r w:rsidRPr="002C2F74">
        <w:rPr>
          <w:rFonts w:cs="Times New Roman"/>
        </w:rPr>
        <w:t>explain at least 60% of the cumulative variance</w:t>
      </w:r>
      <w:r w:rsidR="002D2AD9" w:rsidRPr="002C2F74">
        <w:rPr>
          <w:rFonts w:cs="Times New Roman"/>
        </w:rPr>
        <w:t xml:space="preserve"> are retained</w:t>
      </w:r>
      <w:r w:rsidRPr="002C2F74">
        <w:rPr>
          <w:rFonts w:cs="Times New Roman"/>
        </w:rPr>
        <w:t xml:space="preserve">. </w:t>
      </w:r>
      <w:r w:rsidR="00457BF9" w:rsidRPr="002C2F74">
        <w:rPr>
          <w:rFonts w:cs="Times New Roman"/>
        </w:rPr>
        <w:t>Then a linear regression of the expression level of g is conducted against all the retained PCs, namely</w:t>
      </w:r>
    </w:p>
    <w:p w14:paraId="244E1717" w14:textId="1BC0FE63" w:rsidR="00E6714E" w:rsidRPr="002C2F74" w:rsidRDefault="00E6714E" w:rsidP="00A163C1">
      <w:pPr>
        <w:snapToGrid w:val="0"/>
        <w:spacing w:line="276" w:lineRule="auto"/>
        <w:rPr>
          <w:rFonts w:cs="Times New Roman"/>
        </w:rPr>
      </w:pPr>
      <m:oMathPara>
        <m:oMath>
          <m:r>
            <w:rPr>
              <w:rFonts w:ascii="Cambria Math" w:hAnsi="Cambria Math" w:cs="Times New Roman"/>
            </w:rPr>
            <m:t>e</m:t>
          </m:r>
          <m:d>
            <m:dPr>
              <m:ctrlPr>
                <w:rPr>
                  <w:rFonts w:ascii="Cambria Math" w:hAnsi="Cambria Math" w:cs="Times New Roman"/>
                </w:rPr>
              </m:ctrlPr>
            </m:dPr>
            <m:e>
              <m:r>
                <w:rPr>
                  <w:rFonts w:ascii="Cambria Math" w:hAnsi="Cambria Math" w:cs="Times New Roman"/>
                </w:rPr>
                <m:t>g</m:t>
              </m:r>
            </m:e>
          </m:d>
          <m:r>
            <m:rPr>
              <m:sty m:val="p"/>
            </m:rPr>
            <w:rPr>
              <w:rFonts w:ascii="Cambria Math" w:hAnsi="Cambria Math" w:cs="Times New Roman"/>
            </w:rPr>
            <m:t xml:space="preserve">= </m:t>
          </m:r>
          <m:nary>
            <m:naryPr>
              <m:chr m:val="∑"/>
              <m:limLoc m:val="subSup"/>
              <m:supHide m:val="1"/>
              <m:ctrlPr>
                <w:rPr>
                  <w:rFonts w:ascii="Cambria Math" w:hAnsi="Cambria Math" w:cs="Times New Roman"/>
                  <w:i/>
                </w:rPr>
              </m:ctrlPr>
            </m:naryPr>
            <m:sub>
              <m:r>
                <w:rPr>
                  <w:rFonts w:ascii="Cambria Math" w:hAnsi="Cambria Math" w:cs="Times New Roman"/>
                </w:rPr>
                <m:t>i</m:t>
              </m:r>
            </m:sub>
            <m:sup/>
            <m:e>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r>
                <w:rPr>
                  <w:rFonts w:ascii="Cambria Math" w:hAnsi="Cambria Math" w:cs="Times New Roman"/>
                </w:rPr>
                <m:t>P</m:t>
              </m:r>
              <m:sSub>
                <m:sSubPr>
                  <m:ctrlPr>
                    <w:rPr>
                      <w:rFonts w:ascii="Cambria Math" w:hAnsi="Cambria Math" w:cs="Times New Roman"/>
                    </w:rPr>
                  </m:ctrlPr>
                </m:sSubPr>
                <m:e>
                  <m:r>
                    <w:rPr>
                      <w:rFonts w:ascii="Cambria Math" w:hAnsi="Cambria Math" w:cs="Times New Roman"/>
                    </w:rPr>
                    <m:t>C</m:t>
                  </m:r>
                </m:e>
                <m:sub>
                  <m:r>
                    <m:rPr>
                      <m:sty m:val="p"/>
                    </m:rPr>
                    <w:rPr>
                      <w:rFonts w:ascii="Cambria Math" w:hAnsi="Cambria Math" w:cs="Times New Roman"/>
                    </w:rPr>
                    <m:t>i</m:t>
                  </m:r>
                </m:sub>
              </m:sSub>
            </m:e>
          </m:nary>
          <m:r>
            <w:rPr>
              <w:rFonts w:ascii="Cambria Math" w:eastAsiaTheme="minorEastAsia" w:hAnsi="Cambria Math" w:cs="Times New Roman"/>
            </w:rPr>
            <m:t>+</m:t>
          </m:r>
          <m:sSub>
            <m:sSubPr>
              <m:ctrlPr>
                <w:rPr>
                  <w:rFonts w:ascii="Cambria Math" w:hAnsi="Cambria Math" w:cs="Times New Roman"/>
                </w:rPr>
              </m:ctrlPr>
            </m:sSubPr>
            <m:e>
              <m:r>
                <w:rPr>
                  <w:rFonts w:ascii="Cambria Math" w:hAnsi="Cambria Math" w:cs="Times New Roman"/>
                </w:rPr>
                <m:t>β</m:t>
              </m:r>
            </m:e>
            <m:sub>
              <m:r>
                <m:rPr>
                  <m:sty m:val="p"/>
                </m:rPr>
                <w:rPr>
                  <w:rFonts w:ascii="Cambria Math" w:hAnsi="Cambria Math" w:cs="Times New Roman"/>
                </w:rPr>
                <m:t>0</m:t>
              </m:r>
            </m:sub>
          </m:sSub>
        </m:oMath>
      </m:oMathPara>
    </w:p>
    <w:p w14:paraId="1AD9067C" w14:textId="6B7BEEA3" w:rsidR="00B170BA" w:rsidRPr="002C2F74" w:rsidRDefault="00E6714E" w:rsidP="00A163C1">
      <w:pPr>
        <w:snapToGrid w:val="0"/>
        <w:spacing w:line="276" w:lineRule="auto"/>
        <w:rPr>
          <w:rFonts w:eastAsiaTheme="minorEastAsia" w:cs="Times New Roman"/>
        </w:rPr>
      </w:pPr>
      <w:r w:rsidRPr="002C2F74">
        <w:rPr>
          <w:rFonts w:eastAsiaTheme="minorEastAsia" w:cs="Times New Roman"/>
        </w:rPr>
        <w:t>where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i</m:t>
            </m:r>
          </m:sub>
        </m:sSub>
        <m:r>
          <w:rPr>
            <w:rFonts w:ascii="Cambria Math" w:hAnsi="Cambria Math" w:cs="Times New Roman"/>
          </w:rPr>
          <m:t>}</m:t>
        </m:r>
      </m:oMath>
      <w:r w:rsidRPr="002C2F74">
        <w:rPr>
          <w:rFonts w:eastAsiaTheme="minorEastAsia" w:cs="Times New Roman"/>
        </w:rPr>
        <w:t xml:space="preserve"> are parameters to be determined through minimizing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r w:rsidRPr="002C2F74">
        <w:rPr>
          <w:rFonts w:eastAsiaTheme="minorEastAsia" w:cs="Times New Roman"/>
        </w:rPr>
        <w:t>|.</w:t>
      </w:r>
    </w:p>
    <w:p w14:paraId="534B53AF" w14:textId="77777777" w:rsidR="00A163C1" w:rsidRPr="002C2F74" w:rsidRDefault="00A163C1" w:rsidP="00A163C1">
      <w:pPr>
        <w:snapToGrid w:val="0"/>
        <w:spacing w:line="276" w:lineRule="auto"/>
        <w:rPr>
          <w:rFonts w:eastAsiaTheme="minorEastAsia" w:cs="Times New Roman"/>
        </w:rPr>
      </w:pPr>
    </w:p>
    <w:p w14:paraId="6D5573FA" w14:textId="4B82F538" w:rsidR="00213F29" w:rsidRPr="002C2F74" w:rsidRDefault="00213F29" w:rsidP="00A163C1">
      <w:pPr>
        <w:widowControl/>
        <w:snapToGrid w:val="0"/>
        <w:spacing w:line="276" w:lineRule="auto"/>
        <w:rPr>
          <w:rFonts w:eastAsiaTheme="minorEastAsia" w:cs="Times New Roman"/>
          <w:b/>
          <w:bCs/>
          <w:iCs/>
          <w:color w:val="000000" w:themeColor="text1"/>
        </w:rPr>
      </w:pPr>
      <w:r w:rsidRPr="002C2F74">
        <w:rPr>
          <w:rFonts w:eastAsiaTheme="minorEastAsia" w:cs="Times New Roman"/>
          <w:b/>
          <w:bCs/>
          <w:iCs/>
          <w:color w:val="000000" w:themeColor="text1"/>
        </w:rPr>
        <w:t xml:space="preserve">4.2.8 </w:t>
      </w:r>
      <w:r w:rsidR="00130CF1" w:rsidRPr="002C2F74">
        <w:rPr>
          <w:rFonts w:eastAsiaTheme="minorEastAsia" w:cs="Times New Roman"/>
          <w:b/>
          <w:bCs/>
          <w:iCs/>
          <w:color w:val="000000" w:themeColor="text1"/>
        </w:rPr>
        <w:t xml:space="preserve">Prediction of target genes </w:t>
      </w:r>
      <w:r w:rsidR="0060013B">
        <w:rPr>
          <w:rFonts w:eastAsiaTheme="minorEastAsia" w:cs="Times New Roman"/>
          <w:b/>
          <w:bCs/>
          <w:iCs/>
          <w:color w:val="000000" w:themeColor="text1"/>
        </w:rPr>
        <w:t>and</w:t>
      </w:r>
      <w:r w:rsidR="00130CF1" w:rsidRPr="002C2F74">
        <w:rPr>
          <w:rFonts w:eastAsiaTheme="minorEastAsia" w:cs="Times New Roman"/>
          <w:b/>
          <w:bCs/>
          <w:iCs/>
          <w:color w:val="000000" w:themeColor="text1"/>
        </w:rPr>
        <w:t xml:space="preserve"> pathways regulated by </w:t>
      </w:r>
      <w:proofErr w:type="spellStart"/>
      <w:r w:rsidR="00130CF1" w:rsidRPr="002C2F74">
        <w:rPr>
          <w:rFonts w:eastAsiaTheme="minorEastAsia" w:cs="Times New Roman"/>
          <w:b/>
          <w:bCs/>
          <w:iCs/>
          <w:color w:val="000000" w:themeColor="text1"/>
        </w:rPr>
        <w:t>lnc</w:t>
      </w:r>
      <w:r w:rsidR="00044708" w:rsidRPr="002C2F74">
        <w:rPr>
          <w:rFonts w:eastAsiaTheme="minorEastAsia" w:cs="Times New Roman"/>
          <w:b/>
          <w:bCs/>
          <w:iCs/>
          <w:color w:val="000000" w:themeColor="text1"/>
        </w:rPr>
        <w:t>RNA</w:t>
      </w:r>
      <w:r w:rsidR="00130CF1" w:rsidRPr="002C2F74">
        <w:rPr>
          <w:rFonts w:eastAsiaTheme="minorEastAsia" w:cs="Times New Roman"/>
          <w:b/>
          <w:bCs/>
          <w:iCs/>
          <w:color w:val="000000" w:themeColor="text1"/>
        </w:rPr>
        <w:t>s</w:t>
      </w:r>
      <w:proofErr w:type="spellEnd"/>
    </w:p>
    <w:p w14:paraId="024F4059" w14:textId="2FB5F81B" w:rsidR="00213F29" w:rsidRPr="002C2F74" w:rsidRDefault="00213F29" w:rsidP="00A163C1">
      <w:pPr>
        <w:widowControl/>
        <w:snapToGrid w:val="0"/>
        <w:spacing w:line="276" w:lineRule="auto"/>
        <w:ind w:firstLine="420"/>
        <w:rPr>
          <w:rFonts w:eastAsiaTheme="minorEastAsia" w:cs="Times New Roman"/>
          <w:iCs/>
          <w:color w:val="000000" w:themeColor="text1"/>
        </w:rPr>
      </w:pPr>
      <w:proofErr w:type="spellStart"/>
      <w:r w:rsidRPr="002C2F74">
        <w:rPr>
          <w:rFonts w:eastAsiaTheme="minorEastAsia" w:cs="Times New Roman"/>
          <w:iCs/>
          <w:color w:val="000000" w:themeColor="text1"/>
        </w:rPr>
        <w:t>LncRNAs</w:t>
      </w:r>
      <w:proofErr w:type="spellEnd"/>
      <w:r w:rsidRPr="002C2F74">
        <w:rPr>
          <w:rFonts w:eastAsiaTheme="minorEastAsia" w:cs="Times New Roman"/>
          <w:iCs/>
          <w:color w:val="000000" w:themeColor="text1"/>
        </w:rPr>
        <w:t xml:space="preserve"> can regulate gene expression</w:t>
      </w:r>
      <w:r w:rsidR="003A7F0E" w:rsidRPr="002C2F74">
        <w:rPr>
          <w:rFonts w:eastAsiaTheme="minorEastAsia" w:cs="Times New Roman"/>
          <w:iCs/>
          <w:color w:val="000000" w:themeColor="text1"/>
        </w:rPr>
        <w:t>s</w:t>
      </w:r>
      <w:r w:rsidRPr="002C2F74">
        <w:rPr>
          <w:rFonts w:eastAsiaTheme="minorEastAsia" w:cs="Times New Roman"/>
          <w:iCs/>
          <w:color w:val="000000" w:themeColor="text1"/>
        </w:rPr>
        <w:t xml:space="preserve"> either in their genomic neighborhood (cis-regulation) or at distant locations (trans-regulation) </w:t>
      </w:r>
      <w:r w:rsidR="00E141E0" w:rsidRPr="002C2F74">
        <w:rPr>
          <w:rFonts w:eastAsiaTheme="minorEastAsia" w:cs="Times New Roman"/>
        </w:rPr>
        <w:fldChar w:fldCharType="begin"/>
      </w:r>
      <w:r w:rsidR="004B3D64" w:rsidRPr="002C2F74">
        <w:rPr>
          <w:rFonts w:eastAsiaTheme="minorEastAsia" w:cs="Times New Roman"/>
        </w:rPr>
        <w:instrText xml:space="preserve"> ADDIN ZOTERO_ITEM CSL_CITATION {"citationID":"REgiljlR","properties":{"formattedCitation":"[39], [40]","plainCitation":"[39], [40]","noteIndex":0},"citationItems":[{"id":2203,"uris":["http://zotero.org/users/5158171/items/PGTHZWWR"],"itemData":{"id":2203,"type":"article-journal","abstract":"RNA is not only a messenger operating between DNA and protein. Transcription of essentially the entire eukaryotic genome generates a myriad of non-protein-coding RNA species that show complex overlapping patterns of expression and regulation. Although long noncoding RNAs (lncRNAs) are among the least well-understood of these transcript species, they cannot all be dismissed as merely transcriptional \"noise.\" Here, we review the evolution of lncRNAs and their roles in transcriptional regulation, epigenetic gene regulation, and disease.","container-title":"Cell","DOI":"10.1016/j.cell.2009.02.006","ISSN":"1097-4172","issue":"4","journalAbbreviation":"Cell","language":"eng","note":"PMID: 19239885","page":"629-641","source":"PubMed","title":"Evolution and functions of long noncoding RNAs","volume":"136","author":[{"family":"Ponting","given":"Chris P."},{"family":"Oliver","given":"Peter L."},{"family":"Reik","given":"Wolf"}],"issued":{"date-parts":[["2009",2,20]]}}},{"id":6293,"uris":["http://zotero.org/users/5158171/items/F3KTXMZZ"],"itemData":{"id":6293,"type":"article-journal","abstract":"Long non-protein-coding RNAs (lncRNAs) are proposed to be the largest transcript class in the mouse and human transcriptomes. Two important questions are whether all lncRNAs are functional and how they could exert a function. Several lncRNAs have been shown to function through their product, but this is not the only possible mode of action. In this review we focus on a role for the process of lncRNA transcription, independent of the lncRNA product, in regulating protein-coding-gene activity in cis. We discuss examples where lncRNA transcription leads to gene silencing or activation, and describe strategies to determine if the lncRNA product or its transcription causes the regulatory effect.","container-title":"BMC biology","DOI":"10.1186/1741-7007-11-59","ISSN":"1741-7007","journalAbbreviation":"BMC Biol","language":"eng","note":"PMID: 23721193\nPMCID: PMC3668284","page":"59","source":"PubMed","title":"Gene regulation by the act of long non-coding RNA transcription","volume":"11","author":[{"family":"Kornienko","given":"Aleksandra E."},{"family":"Guenzl","given":"Philipp M."},{"family":"Barlow","given":"Denise P."},{"family":"Pauler","given":"Florian M."}],"issued":{"date-parts":[["2013",5,30]]}}}],"schema":"https://github.com/citation-style-language/schema/raw/master/csl-citation.json"} </w:instrText>
      </w:r>
      <w:r w:rsidR="00E141E0" w:rsidRPr="002C2F74">
        <w:rPr>
          <w:rFonts w:eastAsiaTheme="minorEastAsia" w:cs="Times New Roman"/>
        </w:rPr>
        <w:fldChar w:fldCharType="separate"/>
      </w:r>
      <w:r w:rsidR="004B3D64" w:rsidRPr="002C2F74">
        <w:rPr>
          <w:rFonts w:cs="Times New Roman"/>
        </w:rPr>
        <w:t>[39, 40]</w:t>
      </w:r>
      <w:r w:rsidR="00E141E0" w:rsidRPr="002C2F74">
        <w:rPr>
          <w:rFonts w:eastAsiaTheme="minorEastAsia" w:cs="Times New Roman"/>
        </w:rPr>
        <w:fldChar w:fldCharType="end"/>
      </w:r>
      <w:r w:rsidR="00E141E0" w:rsidRPr="002C2F74">
        <w:rPr>
          <w:rFonts w:eastAsiaTheme="minorEastAsia" w:cs="Times New Roman"/>
        </w:rPr>
        <w:t>.</w:t>
      </w:r>
      <w:r w:rsidRPr="002C2F74">
        <w:rPr>
          <w:rFonts w:eastAsiaTheme="minorEastAsia" w:cs="Times New Roman"/>
          <w:iCs/>
          <w:color w:val="000000" w:themeColor="text1"/>
        </w:rPr>
        <w:t xml:space="preserve"> Cis-regulated target genes </w:t>
      </w:r>
      <w:r w:rsidR="00457BF9" w:rsidRPr="002C2F74">
        <w:rPr>
          <w:rFonts w:eastAsiaTheme="minorEastAsia" w:cs="Times New Roman"/>
          <w:iCs/>
          <w:color w:val="000000" w:themeColor="text1"/>
        </w:rPr>
        <w:t xml:space="preserve">of a lncRNA </w:t>
      </w:r>
      <w:r w:rsidRPr="002C2F74">
        <w:rPr>
          <w:rFonts w:eastAsiaTheme="minorEastAsia" w:cs="Times New Roman"/>
          <w:iCs/>
          <w:color w:val="000000" w:themeColor="text1"/>
        </w:rPr>
        <w:t xml:space="preserve">were predicted based on locational proximity within 100kb upstream or downstream of </w:t>
      </w:r>
      <w:r w:rsidR="001B3B33" w:rsidRPr="002C2F74">
        <w:rPr>
          <w:rFonts w:eastAsiaTheme="minorEastAsia" w:cs="Times New Roman"/>
          <w:iCs/>
          <w:color w:val="000000" w:themeColor="text1"/>
        </w:rPr>
        <w:t>the</w:t>
      </w:r>
      <w:r w:rsidRPr="002C2F74">
        <w:rPr>
          <w:rFonts w:eastAsiaTheme="minorEastAsia" w:cs="Times New Roman"/>
          <w:iCs/>
          <w:color w:val="000000" w:themeColor="text1"/>
        </w:rPr>
        <w:t xml:space="preserve"> lncRNA if co-expressed with the lncRNA </w:t>
      </w:r>
      <w:r w:rsidR="00E141E0" w:rsidRPr="002C2F74">
        <w:rPr>
          <w:rFonts w:eastAsiaTheme="minorEastAsia" w:cs="Times New Roman"/>
        </w:rPr>
        <w:fldChar w:fldCharType="begin"/>
      </w:r>
      <w:r w:rsidR="00056668" w:rsidRPr="002C2F74">
        <w:rPr>
          <w:rFonts w:eastAsiaTheme="minorEastAsia" w:cs="Times New Roman"/>
        </w:rPr>
        <w:instrText xml:space="preserve"> ADDIN ZOTERO_ITEM CSL_CITATION {"citationID":"CUP5bkJw","properties":{"formattedCitation":"[41], [42]","plainCitation":"[41], [42]","noteIndex":0},"citationItems":[{"id":6480,"uris":["http://zotero.org/users/5158171/items/C3AIAG6E"],"itemData":{"id":6480,"type":"article-journal","abstract":"Duck meat is pivotal in providing high-quality protein for human nutrition, underscoring the importance of studying duck myogenesis. The regulatory mechanisms governing duck myogenesis involve both coding and non-coding RNAs, yet their specific expression patterns and molecular mechanisms remain elusive. To address this knowledge gap, we performed expression profiling analyses of mRNAs, lncRNAs, circRNAs, and miRNAs involved in duck myogenesis using whole-transcriptome RNA-seq. Our analysis identified 1733 differentially expressed (DE)-mRNAs, 1116 DE-lncRNAs, 54 DE-circRNAs, and 174 DE-miRNAs when comparing myoblasts and myotubes. A GO analysis highlighted the enrichment of DE molecules in the extracellular region, protein binding, and exocyst. A KEGG analysis pinpointed pathways related to ferroptosis, PPAR signaling, nitrogen metabolism, cell cycle, cardiac muscle contraction, glycerolipid metabolism, and actin cytoskeleton. A total of 51 trans-acting lncRNAs, including ENSAPLT00020002101 and ENSAPLT00020012069, were predicted to participate in regulating myoblast proliferation and differentiation. Based on the ceRNAs, we constructed lncRNA-miRNA-mRNA and circRNA-miRNA-mRNA ceRNA networks involving five miRNAs (miR-129-5p, miR-133a-5p, miR-22-3p, miR-27b-3p, and let-7b-5p) that are relevant to myogenesis. Furthermore, the GO and KEGG analyses of the DE-mRNAs within the ceRNA network underscored the significant enrichment of the glycerolipid metabolism pathway. We identified five different DE-mRNAs, specifically ENSAPLG00020001677, ENSAPLG00020002183, ENSAPLG00020005019, ENSAPLG00020010497, and ENSAPLG00020017682, as potential target genes that are crucial for myogenesis in the context of glycerolipid metabolism. These five mRNAs are integral to ceRNA networks, with miR-107_R-2 and miR-1260 emerging as key regulators. In summary, this study provides a valuable resource elucidating the intricate interplay of mRNA-lncRNA-circRNA-miRNA in duck myogenesis, shedding light on the molecular mechanisms that govern this critical biological process.","container-title":"International Journal of Molecular Sciences","DOI":"10.3390/ijms242216387","ISSN":"1422-0067","issue":"22","journalAbbreviation":"Int J Mol Sci","note":"PMID: 38003577\nPMCID: PMC10671564","page":"16387","source":"PubMed Central","title":"Whole-Transcriptome RNA Sequencing Uncovers the Global Expression Changes and RNA Regulatory Networks in Duck Embryonic Myogenesis","volume":"24","author":[{"family":"Liu","given":"Shuibing"},{"family":"Wu","given":"Jintao"},{"family":"Zhang","given":"Wentao"},{"family":"Jiang","given":"Hongxia"},{"family":"Zhou","given":"Yanan"},{"family":"Liu","given":"Jing"},{"family":"Mao","given":"Huirong"},{"family":"Liu","given":"Sanfeng"},{"family":"Chen","given":"Biao"}],"issued":{"date-parts":[["2023",11,16]]}}},{"id":6483,"uris":["http://zotero.org/users/5158171/items/I8RQZUHB"],"itemData":{"id":6483,"type":"article-journal","abstract":"Background\nAutotetraploid rice is a useful germplasm for polyploid rice breeding. Our previous research showed that non-coding RNAs might be associated with low fertility in autotetraploid rice. However, little information is available on long non-coding RNAs (lncRNAs) involved in the low fertility of autotetraploid rice. In the present study, RNA-seq was employed to detect the differentially expressed meiosis-related lncRNAs in autotetraploid rice, and gene overexpression and knock out experiments were used to validate the potential function of candidate lncRNA.\n\nResults\nA total of 444 differentially expressed lncRNAs (DEL) were detected during anther and ovary meiosis in autotetraploid rice. Of these, 328 DEL were associated with the transposable elements, which displayed low expression levels during meiosis in autotetraploid rice. We used rapid amplification of cDNA ends (RACE) assay to validate 10 DEL and found that the lncRNAs were not assembly artifacts, and six of them were conserved in tetraploid rice. Moreover, 237 and 20 lncRNAs were associated with pollen mother cell (PMC) and embryo sac mother cell (EMC) meiosis in autotetraploid rice, respectively. The differential expressions of some meiosis-related targets and its DEL regulator, including MEL1 regulated by TCONS_00068868, LOC_Os12g41350 (meiotic asynaptic mutant 1) by TCONS_00057811 in PMC, and LOC_Os12g39420 by TCONS_00144592 in EMC, were confirmed by qRT-PCR. TCONS_00057811, TCONS_00055980 and TCONS_00130461 showed anther specific expression patterns and were found to be highly expressed during meiosis. CRISPR/Cas9 editing of lncRNA57811 displayed similar morphology compared to wild type. The overexpression of lncRNA57811 resulted in low pollen fertility (29.70%) and seed setting (33%) in rice.\n\nConclusion\nThe differential expression levels of lncRNAs, associated with transposable elements and meiosis-regulated targets, might be endogenous noncoding regulators of pollen/embryo sac development that cause low fertility in autotetraploid rice. The results enhance our understanding about rice lncRNAs, and facilitate functional research in autotetraploid rice.","container-title":"BMC Plant Biology","DOI":"10.1186/s12870-020-2290-0","ISSN":"1471-2229","journalAbbreviation":"BMC Plant Biol","note":"PMID: 32075588\nPMCID: PMC7032005","page":"82","source":"PubMed Central","title":"Global identification and analysis revealed differentially expressed lncRNAs associated with meiosis and low fertility in autotetraploid rice","volume":"20","author":[{"family":"Li","given":"Xiang"},{"family":"Shahid","given":"Muhammad Qasim"},{"family":"Wen","given":"Minsi"},{"family":"Chen","given":"Shuling"},{"family":"Yu","given":"Hang"},{"family":"Jiao","given":"Yamin"},{"family":"Lu","given":"Zijun"},{"family":"Li","given":"Yajing"},{"family":"Liu","given":"Xiangdong"}],"issued":{"date-parts":[["2020",2,19]]}}}],"schema":"https://github.com/citation-style-language/schema/raw/master/csl-citation.json"} </w:instrText>
      </w:r>
      <w:r w:rsidR="00E141E0" w:rsidRPr="002C2F74">
        <w:rPr>
          <w:rFonts w:eastAsiaTheme="minorEastAsia" w:cs="Times New Roman"/>
        </w:rPr>
        <w:fldChar w:fldCharType="separate"/>
      </w:r>
      <w:r w:rsidR="00056668" w:rsidRPr="002C2F74">
        <w:rPr>
          <w:rFonts w:cs="Times New Roman"/>
        </w:rPr>
        <w:t>[41, 42]</w:t>
      </w:r>
      <w:r w:rsidR="00E141E0" w:rsidRPr="002C2F74">
        <w:rPr>
          <w:rFonts w:eastAsiaTheme="minorEastAsia" w:cs="Times New Roman"/>
        </w:rPr>
        <w:fldChar w:fldCharType="end"/>
      </w:r>
      <w:r w:rsidR="00E141E0" w:rsidRPr="002C2F74">
        <w:rPr>
          <w:rFonts w:eastAsiaTheme="minorEastAsia" w:cs="Times New Roman"/>
        </w:rPr>
        <w:t>.</w:t>
      </w:r>
      <w:r w:rsidRPr="002C2F74">
        <w:rPr>
          <w:rFonts w:eastAsiaTheme="minorEastAsia" w:cs="Times New Roman"/>
          <w:iCs/>
          <w:color w:val="000000" w:themeColor="text1"/>
        </w:rPr>
        <w:t xml:space="preserve"> Trans-regulated genes were predicted based on sequence complementarity and co-expression between </w:t>
      </w:r>
      <w:r w:rsidR="001B3B33" w:rsidRPr="002C2F74">
        <w:rPr>
          <w:rFonts w:eastAsiaTheme="minorEastAsia" w:cs="Times New Roman"/>
          <w:iCs/>
          <w:color w:val="000000" w:themeColor="text1"/>
        </w:rPr>
        <w:t xml:space="preserve">the </w:t>
      </w:r>
      <w:r w:rsidRPr="002C2F74">
        <w:rPr>
          <w:rFonts w:eastAsiaTheme="minorEastAsia" w:cs="Times New Roman"/>
          <w:iCs/>
          <w:color w:val="000000" w:themeColor="text1"/>
        </w:rPr>
        <w:t xml:space="preserve">lncRNA and </w:t>
      </w:r>
      <w:r w:rsidR="001B3B33" w:rsidRPr="002C2F74">
        <w:rPr>
          <w:rFonts w:eastAsiaTheme="minorEastAsia" w:cs="Times New Roman"/>
          <w:iCs/>
          <w:color w:val="000000" w:themeColor="text1"/>
        </w:rPr>
        <w:t xml:space="preserve">the </w:t>
      </w:r>
      <w:r w:rsidRPr="002C2F74">
        <w:rPr>
          <w:rFonts w:eastAsiaTheme="minorEastAsia" w:cs="Times New Roman"/>
          <w:iCs/>
          <w:color w:val="000000" w:themeColor="text1"/>
        </w:rPr>
        <w:t xml:space="preserve">target genes, using </w:t>
      </w:r>
      <w:proofErr w:type="spellStart"/>
      <w:r w:rsidRPr="002C2F74">
        <w:rPr>
          <w:rFonts w:eastAsiaTheme="minorEastAsia" w:cs="Times New Roman"/>
          <w:iCs/>
          <w:color w:val="000000" w:themeColor="text1"/>
        </w:rPr>
        <w:t>RIsearch</w:t>
      </w:r>
      <w:proofErr w:type="spellEnd"/>
      <w:r w:rsidRPr="002C2F74">
        <w:rPr>
          <w:rFonts w:eastAsiaTheme="minorEastAsia" w:cs="Times New Roman"/>
          <w:iCs/>
          <w:color w:val="000000" w:themeColor="text1"/>
        </w:rPr>
        <w:t xml:space="preserve"> </w:t>
      </w:r>
      <w:r w:rsidR="00501B85" w:rsidRPr="002C2F74">
        <w:rPr>
          <w:rFonts w:eastAsiaTheme="minorEastAsia" w:cs="Times New Roman"/>
        </w:rPr>
        <w:fldChar w:fldCharType="begin"/>
      </w:r>
      <w:r w:rsidR="004B3D64" w:rsidRPr="002C2F74">
        <w:rPr>
          <w:rFonts w:eastAsiaTheme="minorEastAsia" w:cs="Times New Roman"/>
        </w:rPr>
        <w:instrText xml:space="preserve"> ADDIN ZOTERO_ITEM CSL_CITATION {"citationID":"IcZCgCvS","properties":{"formattedCitation":"[43]","plainCitation":"[43]","noteIndex":0},"citationItems":[{"id":1448,"uris":["http://zotero.org/users/5158171/items/CU6Z4T66"],"itemData":{"id":1448,"type":"article-journal","container-title":"Bioinformatics","DOI":"10.1093/bioinformatics/bts519","ISSN":"1460-2059, 1367-4803","issue":"21","language":"en","page":"2738-2746","source":"DOI.org (Crossref)","title":"RIsearch: fast RNA–RNA interaction search using a simplified nearest-neighbor energy model","title-short":"RIsearch","volume":"28","author":[{"family":"Wenzel","given":"Anne"},{"family":"Akbaşli","given":"Erdinç"},{"family":"Gorodkin","given":"Jan"}],"issued":{"date-parts":[["2012",11,1]]}}}],"schema":"https://github.com/citation-style-language/schema/raw/master/csl-citation.json"} </w:instrText>
      </w:r>
      <w:r w:rsidR="00501B85" w:rsidRPr="002C2F74">
        <w:rPr>
          <w:rFonts w:eastAsiaTheme="minorEastAsia" w:cs="Times New Roman"/>
        </w:rPr>
        <w:fldChar w:fldCharType="separate"/>
      </w:r>
      <w:r w:rsidR="004B3D64" w:rsidRPr="002C2F74">
        <w:rPr>
          <w:rFonts w:cs="Times New Roman"/>
        </w:rPr>
        <w:t>[43]</w:t>
      </w:r>
      <w:r w:rsidR="00501B85" w:rsidRPr="002C2F74">
        <w:rPr>
          <w:rFonts w:eastAsiaTheme="minorEastAsia" w:cs="Times New Roman"/>
        </w:rPr>
        <w:fldChar w:fldCharType="end"/>
      </w:r>
      <w:r w:rsidRPr="002C2F74">
        <w:rPr>
          <w:rFonts w:eastAsiaTheme="minorEastAsia" w:cs="Times New Roman"/>
          <w:iCs/>
          <w:color w:val="000000" w:themeColor="text1"/>
        </w:rPr>
        <w:t>. Prediction criteria also include the free energy of the</w:t>
      </w:r>
      <w:r w:rsidR="009447D7" w:rsidRPr="002C2F74">
        <w:rPr>
          <w:rFonts w:eastAsiaTheme="minorEastAsia" w:cs="Times New Roman"/>
          <w:iCs/>
          <w:color w:val="000000" w:themeColor="text1"/>
        </w:rPr>
        <w:t xml:space="preserve"> bound</w:t>
      </w:r>
      <w:r w:rsidRPr="002C2F74">
        <w:rPr>
          <w:rFonts w:eastAsiaTheme="minorEastAsia" w:cs="Times New Roman"/>
          <w:iCs/>
          <w:color w:val="000000" w:themeColor="text1"/>
        </w:rPr>
        <w:t xml:space="preserve"> structure between </w:t>
      </w:r>
      <w:r w:rsidR="009447D7" w:rsidRPr="002C2F74">
        <w:rPr>
          <w:rFonts w:eastAsiaTheme="minorEastAsia" w:cs="Times New Roman"/>
          <w:iCs/>
          <w:color w:val="000000" w:themeColor="text1"/>
        </w:rPr>
        <w:t xml:space="preserve">the </w:t>
      </w:r>
      <w:r w:rsidRPr="002C2F74">
        <w:rPr>
          <w:rFonts w:eastAsiaTheme="minorEastAsia" w:cs="Times New Roman"/>
          <w:iCs/>
          <w:color w:val="000000" w:themeColor="text1"/>
        </w:rPr>
        <w:t xml:space="preserve">lncRNA and </w:t>
      </w:r>
      <w:r w:rsidR="009447D7" w:rsidRPr="002C2F74">
        <w:rPr>
          <w:rFonts w:eastAsiaTheme="minorEastAsia" w:cs="Times New Roman"/>
          <w:iCs/>
          <w:color w:val="000000" w:themeColor="text1"/>
        </w:rPr>
        <w:t xml:space="preserve">each DNA </w:t>
      </w:r>
      <w:r w:rsidRPr="002C2F74">
        <w:rPr>
          <w:rFonts w:eastAsiaTheme="minorEastAsia" w:cs="Times New Roman"/>
          <w:iCs/>
          <w:color w:val="000000" w:themeColor="text1"/>
        </w:rPr>
        <w:t>sequence</w:t>
      </w:r>
      <w:r w:rsidR="009447D7" w:rsidRPr="002C2F74">
        <w:rPr>
          <w:rFonts w:eastAsiaTheme="minorEastAsia" w:cs="Times New Roman"/>
          <w:iCs/>
          <w:color w:val="000000" w:themeColor="text1"/>
        </w:rPr>
        <w:t xml:space="preserve"> it binds</w:t>
      </w:r>
      <w:r w:rsidRPr="002C2F74">
        <w:rPr>
          <w:rFonts w:eastAsiaTheme="minorEastAsia" w:cs="Times New Roman"/>
          <w:iCs/>
          <w:color w:val="000000" w:themeColor="text1"/>
        </w:rPr>
        <w:t xml:space="preserve"> (energy &lt; -10) </w:t>
      </w:r>
      <w:r w:rsidR="00E141E0" w:rsidRPr="002C2F74">
        <w:rPr>
          <w:rFonts w:eastAsiaTheme="minorEastAsia" w:cs="Times New Roman"/>
        </w:rPr>
        <w:fldChar w:fldCharType="begin"/>
      </w:r>
      <w:r w:rsidR="004B3D64" w:rsidRPr="002C2F74">
        <w:rPr>
          <w:rFonts w:eastAsiaTheme="minorEastAsia" w:cs="Times New Roman"/>
        </w:rPr>
        <w:instrText xml:space="preserve"> ADDIN ZOTERO_ITEM CSL_CITATION {"citationID":"2HsttdOZ","properties":{"formattedCitation":"[44]","plainCitation":"[44]","noteIndex":0},"citationItems":[{"id":6296,"uris":["http://zotero.org/users/5158171/items/FITN3X4A"],"itemData":{"id":6296,"type":"article-journal","abstract":"Avian pathogenic E. coli (APEC) can cause localized or systemic infections, collectively known as avian colibacillosis, resulting in huge economic losses to poultry industry globally per year. In addition, increasing evidence indicates that long non-coding ...","container-title":"BMC Veterinary Research","DOI":"10.1186/s12917-024-03890-7","language":"en","note":"publisher: BMC\nPMID: 38326918","source":"www.ncbi.nlm.nih.gov","title":"Genome-wide transcriptional profiling and functional analysis of long noncoding RNAs and mRNAs in chicken macrophages associated with the infection of avian pathogenic E. coli","URL":"https://www.ncbi.nlm.nih.gov/pmc/articles/PMC10848384/","volume":"20","author":[{"family":"Sun","given":"Hongyan"},{"family":"Cao","given":"Xinqi"},{"family":"Sumayya","given":""},{"family":"Ma","given":"Yuyi"},{"family":"Li","given":"Huan"},{"family":"Han","given":"Wei"},{"family":"Qu","given":"Lujiang"}],"accessed":{"date-parts":[["2024",5,9]]},"issued":{"date-parts":[["2024"]]}}}],"schema":"https://github.com/citation-style-language/schema/raw/master/csl-citation.json"} </w:instrText>
      </w:r>
      <w:r w:rsidR="00E141E0" w:rsidRPr="002C2F74">
        <w:rPr>
          <w:rFonts w:eastAsiaTheme="minorEastAsia" w:cs="Times New Roman"/>
        </w:rPr>
        <w:fldChar w:fldCharType="separate"/>
      </w:r>
      <w:r w:rsidR="004B3D64" w:rsidRPr="002C2F74">
        <w:rPr>
          <w:rFonts w:cs="Times New Roman"/>
        </w:rPr>
        <w:t>[44]</w:t>
      </w:r>
      <w:r w:rsidR="00E141E0" w:rsidRPr="002C2F74">
        <w:rPr>
          <w:rFonts w:eastAsiaTheme="minorEastAsia" w:cs="Times New Roman"/>
        </w:rPr>
        <w:fldChar w:fldCharType="end"/>
      </w:r>
      <w:r w:rsidR="00E141E0" w:rsidRPr="002C2F74">
        <w:rPr>
          <w:rFonts w:eastAsiaTheme="minorEastAsia" w:cs="Times New Roman"/>
        </w:rPr>
        <w:t>.</w:t>
      </w:r>
    </w:p>
    <w:p w14:paraId="11C58A8B" w14:textId="5DA83E30" w:rsidR="00213F29" w:rsidRPr="002C2F74" w:rsidRDefault="00213F29" w:rsidP="00A163C1">
      <w:pPr>
        <w:widowControl/>
        <w:snapToGrid w:val="0"/>
        <w:spacing w:line="276" w:lineRule="auto"/>
        <w:ind w:firstLine="420"/>
        <w:rPr>
          <w:rFonts w:eastAsiaTheme="minorEastAsia" w:cs="Times New Roman"/>
          <w:iCs/>
          <w:color w:val="000000" w:themeColor="text1"/>
        </w:rPr>
      </w:pPr>
      <w:r w:rsidRPr="002C2F74">
        <w:rPr>
          <w:rFonts w:eastAsiaTheme="minorEastAsia" w:cs="Times New Roman"/>
          <w:iCs/>
          <w:color w:val="000000" w:themeColor="text1"/>
        </w:rPr>
        <w:t xml:space="preserve">A lncRNA was </w:t>
      </w:r>
      <w:r w:rsidR="007263EE" w:rsidRPr="002C2F74">
        <w:rPr>
          <w:rFonts w:eastAsiaTheme="minorEastAsia" w:cs="Times New Roman"/>
          <w:iCs/>
          <w:color w:val="000000" w:themeColor="text1"/>
        </w:rPr>
        <w:t xml:space="preserve">predicted to be </w:t>
      </w:r>
      <w:r w:rsidRPr="002C2F74">
        <w:rPr>
          <w:rFonts w:eastAsiaTheme="minorEastAsia" w:cs="Times New Roman"/>
          <w:iCs/>
          <w:color w:val="000000" w:themeColor="text1"/>
        </w:rPr>
        <w:t xml:space="preserve">a regulator of a pathway if </w:t>
      </w:r>
      <w:r w:rsidR="007263EE" w:rsidRPr="002C2F74">
        <w:rPr>
          <w:rFonts w:eastAsiaTheme="minorEastAsia" w:cs="Times New Roman"/>
          <w:iCs/>
          <w:color w:val="000000" w:themeColor="text1"/>
        </w:rPr>
        <w:t xml:space="preserve">(1) </w:t>
      </w:r>
      <w:r w:rsidRPr="002C2F74">
        <w:rPr>
          <w:rFonts w:eastAsiaTheme="minorEastAsia" w:cs="Times New Roman"/>
          <w:iCs/>
          <w:color w:val="000000" w:themeColor="text1"/>
        </w:rPr>
        <w:t xml:space="preserve">an optimal regression model of the lncRNA against the PCs of the pathway yielded a high R² value </w:t>
      </w:r>
      <w:r w:rsidR="003A7F0E" w:rsidRPr="002C2F74">
        <w:rPr>
          <w:rFonts w:eastAsiaTheme="minorEastAsia" w:cs="Times New Roman"/>
          <w:iCs/>
          <w:color w:val="000000" w:themeColor="text1"/>
        </w:rPr>
        <w:t xml:space="preserve">with </w:t>
      </w:r>
      <w:r w:rsidRPr="002C2F74">
        <w:rPr>
          <w:rFonts w:eastAsiaTheme="minorEastAsia" w:cs="Times New Roman"/>
          <w:iCs/>
          <w:color w:val="000000" w:themeColor="text1"/>
        </w:rPr>
        <w:t xml:space="preserve">an adjusted p-value &lt; 0.05, </w:t>
      </w:r>
      <w:r w:rsidR="007263EE" w:rsidRPr="002C2F74">
        <w:rPr>
          <w:rFonts w:eastAsiaTheme="minorEastAsia" w:cs="Times New Roman"/>
          <w:iCs/>
          <w:color w:val="000000" w:themeColor="text1"/>
        </w:rPr>
        <w:t xml:space="preserve">and (2) </w:t>
      </w:r>
      <w:r w:rsidRPr="002C2F74">
        <w:rPr>
          <w:rFonts w:eastAsiaTheme="minorEastAsia" w:cs="Times New Roman"/>
          <w:iCs/>
          <w:color w:val="000000" w:themeColor="text1"/>
        </w:rPr>
        <w:t xml:space="preserve">the lncRNA </w:t>
      </w:r>
      <w:r w:rsidR="007263EE" w:rsidRPr="002C2F74">
        <w:rPr>
          <w:rFonts w:eastAsiaTheme="minorEastAsia" w:cs="Times New Roman"/>
          <w:iCs/>
          <w:color w:val="000000" w:themeColor="text1"/>
        </w:rPr>
        <w:t>is</w:t>
      </w:r>
      <w:r w:rsidRPr="002C2F74">
        <w:rPr>
          <w:rFonts w:eastAsiaTheme="minorEastAsia" w:cs="Times New Roman"/>
          <w:iCs/>
          <w:color w:val="000000" w:themeColor="text1"/>
        </w:rPr>
        <w:t xml:space="preserve"> predicted </w:t>
      </w:r>
      <w:r w:rsidR="007263EE" w:rsidRPr="002C2F74">
        <w:rPr>
          <w:rFonts w:eastAsiaTheme="minorEastAsia" w:cs="Times New Roman"/>
          <w:iCs/>
          <w:color w:val="000000" w:themeColor="text1"/>
        </w:rPr>
        <w:t xml:space="preserve">to be a </w:t>
      </w:r>
      <w:r w:rsidRPr="002C2F74">
        <w:rPr>
          <w:rFonts w:eastAsiaTheme="minorEastAsia" w:cs="Times New Roman"/>
          <w:iCs/>
          <w:color w:val="000000" w:themeColor="text1"/>
        </w:rPr>
        <w:t xml:space="preserve">cis or trans regulator of </w:t>
      </w:r>
      <w:r w:rsidR="007263EE" w:rsidRPr="002C2F74">
        <w:rPr>
          <w:rFonts w:eastAsiaTheme="minorEastAsia" w:cs="Times New Roman"/>
          <w:iCs/>
          <w:color w:val="000000" w:themeColor="text1"/>
        </w:rPr>
        <w:t xml:space="preserve">some </w:t>
      </w:r>
      <w:r w:rsidRPr="002C2F74">
        <w:rPr>
          <w:rFonts w:eastAsiaTheme="minorEastAsia" w:cs="Times New Roman"/>
          <w:iCs/>
          <w:color w:val="000000" w:themeColor="text1"/>
        </w:rPr>
        <w:t>gene</w:t>
      </w:r>
      <w:r w:rsidR="007263EE" w:rsidRPr="002C2F74">
        <w:rPr>
          <w:rFonts w:eastAsiaTheme="minorEastAsia" w:cs="Times New Roman"/>
          <w:iCs/>
          <w:color w:val="000000" w:themeColor="text1"/>
        </w:rPr>
        <w:t>s</w:t>
      </w:r>
      <w:r w:rsidRPr="002C2F74">
        <w:rPr>
          <w:rFonts w:eastAsiaTheme="minorEastAsia" w:cs="Times New Roman"/>
          <w:iCs/>
          <w:color w:val="000000" w:themeColor="text1"/>
        </w:rPr>
        <w:t xml:space="preserve"> in the pathway, with a Spearman correlation coefficient |r| &gt; 0 and an adjusted p-value &lt; 0.05.</w:t>
      </w:r>
    </w:p>
    <w:p w14:paraId="36439265" w14:textId="77777777" w:rsidR="00A163C1" w:rsidRPr="002C2F74" w:rsidRDefault="00A163C1" w:rsidP="00A163C1">
      <w:pPr>
        <w:widowControl/>
        <w:snapToGrid w:val="0"/>
        <w:spacing w:line="276" w:lineRule="auto"/>
        <w:ind w:firstLine="420"/>
        <w:rPr>
          <w:rFonts w:eastAsiaTheme="minorEastAsia" w:cs="Times New Roman"/>
          <w:iCs/>
          <w:color w:val="000000" w:themeColor="text1"/>
        </w:rPr>
      </w:pPr>
    </w:p>
    <w:p w14:paraId="6FC4CC09" w14:textId="4EB033C8" w:rsidR="001F00EC" w:rsidRPr="002C2F74" w:rsidRDefault="001F00EC" w:rsidP="00A163C1">
      <w:pPr>
        <w:snapToGrid w:val="0"/>
        <w:spacing w:line="276" w:lineRule="auto"/>
        <w:rPr>
          <w:rFonts w:cs="Times New Roman"/>
          <w:b/>
          <w:bCs/>
          <w:iCs/>
          <w:color w:val="000000" w:themeColor="text1"/>
        </w:rPr>
      </w:pPr>
      <w:r w:rsidRPr="002C2F74">
        <w:rPr>
          <w:rFonts w:cs="Times New Roman"/>
          <w:b/>
          <w:bCs/>
          <w:iCs/>
          <w:color w:val="000000" w:themeColor="text1"/>
        </w:rPr>
        <w:t xml:space="preserve">4.2.8. </w:t>
      </w:r>
      <w:r w:rsidR="00130CF1" w:rsidRPr="002C2F74">
        <w:rPr>
          <w:rFonts w:cs="Times New Roman"/>
          <w:b/>
          <w:bCs/>
          <w:iCs/>
          <w:color w:val="000000" w:themeColor="text1"/>
        </w:rPr>
        <w:t>Multi-class classification analysis using LGBM</w:t>
      </w:r>
    </w:p>
    <w:p w14:paraId="4EFA9757" w14:textId="5F2B234B" w:rsidR="00F50857" w:rsidRPr="002C2F74" w:rsidRDefault="001F00EC" w:rsidP="0060013B">
      <w:pPr>
        <w:snapToGrid w:val="0"/>
        <w:spacing w:line="276" w:lineRule="auto"/>
        <w:ind w:firstLine="420"/>
        <w:rPr>
          <w:b/>
          <w:bCs/>
        </w:rPr>
      </w:pPr>
      <w:r w:rsidRPr="002C2F74">
        <w:rPr>
          <w:rFonts w:cs="Times New Roman"/>
          <w:iCs/>
          <w:color w:val="000000" w:themeColor="text1"/>
        </w:rPr>
        <w:t xml:space="preserve">A multi-class classification was constructed using </w:t>
      </w:r>
      <w:proofErr w:type="spellStart"/>
      <w:r w:rsidRPr="002C2F74">
        <w:rPr>
          <w:rFonts w:cs="Times New Roman"/>
          <w:iCs/>
          <w:color w:val="000000" w:themeColor="text1"/>
        </w:rPr>
        <w:t>LightGBM</w:t>
      </w:r>
      <w:proofErr w:type="spellEnd"/>
      <w:r w:rsidRPr="002C2F74">
        <w:rPr>
          <w:rFonts w:cs="Times New Roman"/>
          <w:iCs/>
          <w:color w:val="000000" w:themeColor="text1"/>
        </w:rPr>
        <w:t xml:space="preserve"> (LGBM)</w:t>
      </w:r>
      <w:r w:rsidR="00F66A59" w:rsidRPr="002C2F74">
        <w:rPr>
          <w:rFonts w:cs="Times New Roman"/>
          <w:iCs/>
          <w:color w:val="000000" w:themeColor="text1"/>
        </w:rPr>
        <w:t xml:space="preserve"> </w:t>
      </w:r>
      <w:r w:rsidR="00F66A59" w:rsidRPr="002C2F74">
        <w:rPr>
          <w:rFonts w:cs="Times New Roman"/>
          <w:iCs/>
          <w:color w:val="000000" w:themeColor="text1"/>
        </w:rPr>
        <w:fldChar w:fldCharType="begin"/>
      </w:r>
      <w:r w:rsidR="004B3D64" w:rsidRPr="002C2F74">
        <w:rPr>
          <w:rFonts w:cs="Times New Roman"/>
          <w:iCs/>
          <w:color w:val="000000" w:themeColor="text1"/>
        </w:rPr>
        <w:instrText xml:space="preserve"> ADDIN ZOTERO_ITEM CSL_CITATION {"citationID":"DxV8O4Q5","properties":{"formattedCitation":"[45]","plainCitation":"[45]","noteIndex":0},"citationItems":[{"id":5864,"uris":["http://zotero.org/users/5158171/items/KU2ZPY7E"],"itemData":{"id":5864,"type":"paper-conference","container-title":"Advances in Neural Information Processing Systems","publisher":"Curran Associates, Inc.","title":"LightGBM: A Highly Efficient Gradient Boosting Decision Tree","URL":"https://proceedings.neurips.cc/paper_files/paper/2017/file/6449f44a102fde848669bdd9eb6b76fa-Paper.pdf","volume":"30","author":[{"family":"Ke","given":"Guolin"},{"family":"Meng","given":"Qi"},{"family":"Finley","given":"Thomas"},{"family":"Wang","given":"Taifeng"},{"family":"Chen","given":"Wei"},{"family":"Ma","given":"Weidong"},{"family":"Ye","given":"Qiwei"},{"family":"Liu","given":"Tie-Yan"}],"editor":[{"family":"Guyon","given":"I."},{"family":"Luxburg","given":"U. Von"},{"family":"Bengio","given":"S."},{"family":"Wallach","given":"H."},{"family":"Fergus","given":"R."},{"family":"Vishwanathan","given":"S."},{"family":"Garnett","given":"R."}],"issued":{"date-parts":[["2017"]]}}}],"schema":"https://github.com/citation-style-language/schema/raw/master/csl-citation.json"} </w:instrText>
      </w:r>
      <w:r w:rsidR="00F66A59" w:rsidRPr="002C2F74">
        <w:rPr>
          <w:rFonts w:cs="Times New Roman"/>
          <w:iCs/>
          <w:color w:val="000000" w:themeColor="text1"/>
        </w:rPr>
        <w:fldChar w:fldCharType="separate"/>
      </w:r>
      <w:r w:rsidR="004B3D64" w:rsidRPr="002C2F74">
        <w:rPr>
          <w:rFonts w:cs="Times New Roman"/>
        </w:rPr>
        <w:t>[45]</w:t>
      </w:r>
      <w:r w:rsidR="00F66A59" w:rsidRPr="002C2F74">
        <w:rPr>
          <w:rFonts w:cs="Times New Roman"/>
          <w:iCs/>
          <w:color w:val="000000" w:themeColor="text1"/>
        </w:rPr>
        <w:fldChar w:fldCharType="end"/>
      </w:r>
      <w:r w:rsidRPr="002C2F74">
        <w:rPr>
          <w:rFonts w:cs="Times New Roman"/>
          <w:iCs/>
          <w:color w:val="000000" w:themeColor="text1"/>
        </w:rPr>
        <w:t xml:space="preserve"> to </w:t>
      </w:r>
      <w:r w:rsidR="00193E67" w:rsidRPr="002C2F74">
        <w:rPr>
          <w:rFonts w:cs="Times New Roman"/>
          <w:iCs/>
          <w:color w:val="000000" w:themeColor="text1"/>
        </w:rPr>
        <w:t>classify a tissue sample as a</w:t>
      </w:r>
      <w:r w:rsidRPr="002C2F74">
        <w:rPr>
          <w:rFonts w:cs="Times New Roman"/>
          <w:iCs/>
          <w:color w:val="000000" w:themeColor="text1"/>
        </w:rPr>
        <w:t xml:space="preserve"> </w:t>
      </w:r>
      <w:r w:rsidR="00193E67" w:rsidRPr="002C2F74">
        <w:rPr>
          <w:rFonts w:cs="Times New Roman"/>
          <w:iCs/>
          <w:color w:val="000000" w:themeColor="text1"/>
        </w:rPr>
        <w:t>n</w:t>
      </w:r>
      <w:r w:rsidRPr="002C2F74">
        <w:rPr>
          <w:rFonts w:cs="Times New Roman"/>
          <w:iCs/>
          <w:color w:val="000000" w:themeColor="text1"/>
        </w:rPr>
        <w:t xml:space="preserve">ormal, MCI, </w:t>
      </w:r>
      <w:r w:rsidR="00193E67" w:rsidRPr="002C2F74">
        <w:rPr>
          <w:rFonts w:cs="Times New Roman"/>
          <w:iCs/>
          <w:color w:val="000000" w:themeColor="text1"/>
        </w:rPr>
        <w:t xml:space="preserve">or </w:t>
      </w:r>
      <w:r w:rsidRPr="002C2F74">
        <w:rPr>
          <w:rFonts w:cs="Times New Roman"/>
          <w:iCs/>
          <w:color w:val="000000" w:themeColor="text1"/>
        </w:rPr>
        <w:t xml:space="preserve">AD sample based on </w:t>
      </w:r>
      <w:r w:rsidR="00193E67" w:rsidRPr="002C2F74">
        <w:rPr>
          <w:rFonts w:cs="Times New Roman"/>
          <w:iCs/>
          <w:color w:val="000000" w:themeColor="text1"/>
        </w:rPr>
        <w:t xml:space="preserve">the </w:t>
      </w:r>
      <w:r w:rsidRPr="002C2F74">
        <w:rPr>
          <w:rFonts w:cs="Times New Roman"/>
          <w:iCs/>
          <w:color w:val="000000" w:themeColor="text1"/>
        </w:rPr>
        <w:t xml:space="preserve">gene expression data </w:t>
      </w:r>
      <w:r w:rsidR="00193E67" w:rsidRPr="002C2F74">
        <w:rPr>
          <w:rFonts w:cs="Times New Roman"/>
          <w:iCs/>
          <w:color w:val="000000" w:themeColor="text1"/>
        </w:rPr>
        <w:t xml:space="preserve">of </w:t>
      </w:r>
      <w:r w:rsidRPr="002C2F74">
        <w:rPr>
          <w:rFonts w:cs="Times New Roman"/>
          <w:iCs/>
          <w:color w:val="000000" w:themeColor="text1"/>
        </w:rPr>
        <w:t xml:space="preserve">a </w:t>
      </w:r>
      <w:r w:rsidR="00193E67" w:rsidRPr="002C2F74">
        <w:rPr>
          <w:rFonts w:cs="Times New Roman"/>
          <w:iCs/>
          <w:color w:val="000000" w:themeColor="text1"/>
        </w:rPr>
        <w:t xml:space="preserve">pre-defined </w:t>
      </w:r>
      <w:r w:rsidRPr="002C2F74">
        <w:rPr>
          <w:rFonts w:cs="Times New Roman"/>
          <w:iCs/>
          <w:color w:val="000000" w:themeColor="text1"/>
        </w:rPr>
        <w:t>gene set. The classification performance of the gene set was evaluated</w:t>
      </w:r>
      <w:r w:rsidR="00193E67" w:rsidRPr="002C2F74">
        <w:rPr>
          <w:rFonts w:cs="Times New Roman"/>
          <w:iCs/>
          <w:color w:val="000000" w:themeColor="text1"/>
        </w:rPr>
        <w:t xml:space="preserve"> using the ROC curve and the AUC value, </w:t>
      </w:r>
      <w:r w:rsidRPr="002C2F74">
        <w:rPr>
          <w:rFonts w:cs="Times New Roman"/>
          <w:iCs/>
          <w:color w:val="000000" w:themeColor="text1"/>
        </w:rPr>
        <w:t xml:space="preserve">without feature elimination. </w:t>
      </w:r>
    </w:p>
    <w:p w14:paraId="18C2FC2B" w14:textId="77777777" w:rsidR="003E7849" w:rsidRDefault="003E7849">
      <w:pPr>
        <w:widowControl/>
        <w:jc w:val="left"/>
        <w:rPr>
          <w:b/>
          <w:bCs/>
        </w:rPr>
      </w:pPr>
    </w:p>
    <w:p w14:paraId="08883835" w14:textId="29BB7D4F" w:rsidR="009D47CB" w:rsidRPr="002C2F74" w:rsidRDefault="009D47CB">
      <w:pPr>
        <w:widowControl/>
        <w:jc w:val="left"/>
        <w:rPr>
          <w:b/>
          <w:bCs/>
        </w:rPr>
      </w:pPr>
      <w:r w:rsidRPr="002C2F74">
        <w:rPr>
          <w:rFonts w:hint="eastAsia"/>
          <w:b/>
          <w:bCs/>
        </w:rPr>
        <w:t>Reference</w:t>
      </w:r>
    </w:p>
    <w:p w14:paraId="2EE3287C" w14:textId="77777777" w:rsidR="001D3C16" w:rsidRPr="001D3C16" w:rsidRDefault="009D47CB" w:rsidP="001D3C16">
      <w:pPr>
        <w:pStyle w:val="afa"/>
        <w:rPr>
          <w:rFonts w:cs="Times New Roman"/>
        </w:rPr>
      </w:pPr>
      <w:r w:rsidRPr="002C2F74">
        <w:rPr>
          <w:b/>
          <w:bCs/>
        </w:rPr>
        <w:fldChar w:fldCharType="begin"/>
      </w:r>
      <w:r w:rsidR="00056668" w:rsidRPr="002C2F74">
        <w:rPr>
          <w:b/>
          <w:bCs/>
        </w:rPr>
        <w:instrText xml:space="preserve"> ADDIN ZOTERO_BIBL {"uncited":[],"omitted":[],"custom":[]} CSL_BIBLIOGRAPHY </w:instrText>
      </w:r>
      <w:r w:rsidRPr="002C2F74">
        <w:rPr>
          <w:b/>
          <w:bCs/>
        </w:rPr>
        <w:fldChar w:fldCharType="separate"/>
      </w:r>
      <w:r w:rsidR="001D3C16" w:rsidRPr="001D3C16">
        <w:rPr>
          <w:rFonts w:cs="Times New Roman"/>
        </w:rPr>
        <w:t>[1]</w:t>
      </w:r>
      <w:r w:rsidR="001D3C16" w:rsidRPr="001D3C16">
        <w:rPr>
          <w:rFonts w:cs="Times New Roman"/>
        </w:rPr>
        <w:tab/>
        <w:t xml:space="preserve">M. J. Gandal </w:t>
      </w:r>
      <w:r w:rsidR="001D3C16" w:rsidRPr="001D3C16">
        <w:rPr>
          <w:rFonts w:cs="Times New Roman"/>
          <w:i/>
          <w:iCs/>
        </w:rPr>
        <w:t>et al.</w:t>
      </w:r>
      <w:r w:rsidR="001D3C16" w:rsidRPr="001D3C16">
        <w:rPr>
          <w:rFonts w:cs="Times New Roman"/>
        </w:rPr>
        <w:t xml:space="preserve">, “Transcriptome-wide isoform-level dysregulation in ASD, schizophrenia, and bipolar disorder,” </w:t>
      </w:r>
      <w:r w:rsidR="001D3C16" w:rsidRPr="001D3C16">
        <w:rPr>
          <w:rFonts w:cs="Times New Roman"/>
          <w:i/>
          <w:iCs/>
        </w:rPr>
        <w:t>Science</w:t>
      </w:r>
      <w:r w:rsidR="001D3C16" w:rsidRPr="001D3C16">
        <w:rPr>
          <w:rFonts w:cs="Times New Roman"/>
        </w:rPr>
        <w:t>, vol. 362, no. 6420, p. eaat8127, Dec. 2018, doi: 10.1126/science.aat8127.</w:t>
      </w:r>
    </w:p>
    <w:p w14:paraId="5B94F9F5" w14:textId="77777777" w:rsidR="001D3C16" w:rsidRPr="001D3C16" w:rsidRDefault="001D3C16" w:rsidP="001D3C16">
      <w:pPr>
        <w:pStyle w:val="afa"/>
        <w:rPr>
          <w:rFonts w:cs="Times New Roman"/>
        </w:rPr>
      </w:pPr>
      <w:r w:rsidRPr="001D3C16">
        <w:rPr>
          <w:rFonts w:cs="Times New Roman"/>
        </w:rPr>
        <w:t>[2]</w:t>
      </w:r>
      <w:r w:rsidRPr="001D3C16">
        <w:rPr>
          <w:rFonts w:cs="Times New Roman"/>
        </w:rPr>
        <w:tab/>
        <w:t xml:space="preserve">W. M. van der Flier, M. E. de Vugt, E. M. A. Smets, M. Blom, and C. E. Teunissen, “Towards a future where Alzheimer’s disease pathology is stopped before the onset of dementia,” </w:t>
      </w:r>
      <w:r w:rsidRPr="001D3C16">
        <w:rPr>
          <w:rFonts w:cs="Times New Roman"/>
          <w:i/>
          <w:iCs/>
        </w:rPr>
        <w:t>Nat. Aging</w:t>
      </w:r>
      <w:r w:rsidRPr="001D3C16">
        <w:rPr>
          <w:rFonts w:cs="Times New Roman"/>
        </w:rPr>
        <w:t>, vol. 3, no. 5, pp. 494–505, May 2023, doi: 10.1038/s43587-023-00404-2.</w:t>
      </w:r>
    </w:p>
    <w:p w14:paraId="7D460ED5" w14:textId="77777777" w:rsidR="001D3C16" w:rsidRPr="001D3C16" w:rsidRDefault="001D3C16" w:rsidP="001D3C16">
      <w:pPr>
        <w:pStyle w:val="afa"/>
        <w:rPr>
          <w:rFonts w:cs="Times New Roman"/>
        </w:rPr>
      </w:pPr>
      <w:r w:rsidRPr="001D3C16">
        <w:rPr>
          <w:rFonts w:cs="Times New Roman"/>
        </w:rPr>
        <w:t>[3]</w:t>
      </w:r>
      <w:r w:rsidRPr="001D3C16">
        <w:rPr>
          <w:rFonts w:cs="Times New Roman"/>
        </w:rPr>
        <w:tab/>
        <w:t xml:space="preserve">D. A. Bennett, A. S. Buchman, P. A. Boyle, L. L. Barnes, R. S. Wilson, and J. A. Schneider, “Religious Orders Study and Rush Memory and Aging Project,” </w:t>
      </w:r>
      <w:r w:rsidRPr="001D3C16">
        <w:rPr>
          <w:rFonts w:cs="Times New Roman"/>
          <w:i/>
          <w:iCs/>
        </w:rPr>
        <w:t>J. Alzheimers Dis. JAD</w:t>
      </w:r>
      <w:r w:rsidRPr="001D3C16">
        <w:rPr>
          <w:rFonts w:cs="Times New Roman"/>
        </w:rPr>
        <w:t>, vol. 64, no. Suppl 1, pp. S161–S189, 2018, doi: 10.3233/JAD-179939.</w:t>
      </w:r>
    </w:p>
    <w:p w14:paraId="03B3F1A0" w14:textId="77777777" w:rsidR="001D3C16" w:rsidRPr="001D3C16" w:rsidRDefault="001D3C16" w:rsidP="001D3C16">
      <w:pPr>
        <w:pStyle w:val="afa"/>
        <w:rPr>
          <w:rFonts w:cs="Times New Roman"/>
        </w:rPr>
      </w:pPr>
      <w:r w:rsidRPr="001D3C16">
        <w:rPr>
          <w:rFonts w:cs="Times New Roman"/>
        </w:rPr>
        <w:t>[4]</w:t>
      </w:r>
      <w:r w:rsidRPr="001D3C16">
        <w:rPr>
          <w:rFonts w:cs="Times New Roman"/>
        </w:rPr>
        <w:tab/>
        <w:t xml:space="preserve">M. Wang </w:t>
      </w:r>
      <w:r w:rsidRPr="001D3C16">
        <w:rPr>
          <w:rFonts w:cs="Times New Roman"/>
          <w:i/>
          <w:iCs/>
        </w:rPr>
        <w:t>et al.</w:t>
      </w:r>
      <w:r w:rsidRPr="001D3C16">
        <w:rPr>
          <w:rFonts w:cs="Times New Roman"/>
        </w:rPr>
        <w:t xml:space="preserve">, “The Mount Sinai cohort of large-scale genomic, transcriptomic and proteomic </w:t>
      </w:r>
      <w:r w:rsidRPr="001D3C16">
        <w:rPr>
          <w:rFonts w:cs="Times New Roman"/>
        </w:rPr>
        <w:lastRenderedPageBreak/>
        <w:t xml:space="preserve">data in Alzheimer’s disease,” </w:t>
      </w:r>
      <w:r w:rsidRPr="001D3C16">
        <w:rPr>
          <w:rFonts w:cs="Times New Roman"/>
          <w:i/>
          <w:iCs/>
        </w:rPr>
        <w:t>Sci. Data</w:t>
      </w:r>
      <w:r w:rsidRPr="001D3C16">
        <w:rPr>
          <w:rFonts w:cs="Times New Roman"/>
        </w:rPr>
        <w:t>, vol. 5, no. 1, p. 180185, Sep. 2018, doi: 10.1038/sdata.2018.185.</w:t>
      </w:r>
    </w:p>
    <w:p w14:paraId="29493E80" w14:textId="77777777" w:rsidR="001D3C16" w:rsidRPr="001D3C16" w:rsidRDefault="001D3C16" w:rsidP="001D3C16">
      <w:pPr>
        <w:pStyle w:val="afa"/>
        <w:rPr>
          <w:rFonts w:cs="Times New Roman"/>
        </w:rPr>
      </w:pPr>
      <w:r w:rsidRPr="001D3C16">
        <w:rPr>
          <w:rFonts w:cs="Times New Roman"/>
        </w:rPr>
        <w:t>[5]</w:t>
      </w:r>
      <w:r w:rsidRPr="001D3C16">
        <w:rPr>
          <w:rFonts w:cs="Times New Roman"/>
        </w:rPr>
        <w:tab/>
        <w:t xml:space="preserve">B. A. Friedman </w:t>
      </w:r>
      <w:r w:rsidRPr="001D3C16">
        <w:rPr>
          <w:rFonts w:cs="Times New Roman"/>
          <w:i/>
          <w:iCs/>
        </w:rPr>
        <w:t>et al.</w:t>
      </w:r>
      <w:r w:rsidRPr="001D3C16">
        <w:rPr>
          <w:rFonts w:cs="Times New Roman"/>
        </w:rPr>
        <w:t xml:space="preserve">, “Diverse Brain Myeloid Expression Profiles Reveal Distinct Microglial Activation States and Aspects of Alzheimer’s Disease Not Evident in Mouse Models,” </w:t>
      </w:r>
      <w:r w:rsidRPr="001D3C16">
        <w:rPr>
          <w:rFonts w:cs="Times New Roman"/>
          <w:i/>
          <w:iCs/>
        </w:rPr>
        <w:t>Cell Rep.</w:t>
      </w:r>
      <w:r w:rsidRPr="001D3C16">
        <w:rPr>
          <w:rFonts w:cs="Times New Roman"/>
        </w:rPr>
        <w:t>, vol. 22, no. 3, pp. 832–847, Jan. 2018, doi: 10.1016/j.celrep.2017.12.066.</w:t>
      </w:r>
    </w:p>
    <w:p w14:paraId="79EF70E4" w14:textId="77777777" w:rsidR="001D3C16" w:rsidRPr="001D3C16" w:rsidRDefault="001D3C16" w:rsidP="001D3C16">
      <w:pPr>
        <w:pStyle w:val="afa"/>
        <w:rPr>
          <w:rFonts w:cs="Times New Roman"/>
        </w:rPr>
      </w:pPr>
      <w:r w:rsidRPr="001D3C16">
        <w:rPr>
          <w:rFonts w:cs="Times New Roman"/>
        </w:rPr>
        <w:t>[6]</w:t>
      </w:r>
      <w:r w:rsidRPr="001D3C16">
        <w:rPr>
          <w:rFonts w:cs="Times New Roman"/>
        </w:rPr>
        <w:tab/>
        <w:t xml:space="preserve">A. P. Pérez-González </w:t>
      </w:r>
      <w:r w:rsidRPr="001D3C16">
        <w:rPr>
          <w:rFonts w:cs="Times New Roman"/>
          <w:i/>
          <w:iCs/>
        </w:rPr>
        <w:t>et al.</w:t>
      </w:r>
      <w:r w:rsidRPr="001D3C16">
        <w:rPr>
          <w:rFonts w:cs="Times New Roman"/>
        </w:rPr>
        <w:t xml:space="preserve">, “The ROSMAP project: aging and neurodegenerative diseases through omic sciences,” </w:t>
      </w:r>
      <w:r w:rsidRPr="001D3C16">
        <w:rPr>
          <w:rFonts w:cs="Times New Roman"/>
          <w:i/>
          <w:iCs/>
        </w:rPr>
        <w:t>Front. Neuroinformatics</w:t>
      </w:r>
      <w:r w:rsidRPr="001D3C16">
        <w:rPr>
          <w:rFonts w:cs="Times New Roman"/>
        </w:rPr>
        <w:t>, vol. 18, Sep. 2024, doi: 10.3389/fninf.2024.1443865.</w:t>
      </w:r>
    </w:p>
    <w:p w14:paraId="71CAC41A" w14:textId="77777777" w:rsidR="001D3C16" w:rsidRPr="001D3C16" w:rsidRDefault="001D3C16" w:rsidP="001D3C16">
      <w:pPr>
        <w:pStyle w:val="afa"/>
        <w:rPr>
          <w:rFonts w:cs="Times New Roman"/>
        </w:rPr>
      </w:pPr>
      <w:r w:rsidRPr="001D3C16">
        <w:rPr>
          <w:rFonts w:cs="Times New Roman"/>
        </w:rPr>
        <w:t>[7]</w:t>
      </w:r>
      <w:r w:rsidRPr="001D3C16">
        <w:rPr>
          <w:rFonts w:cs="Times New Roman"/>
        </w:rPr>
        <w:tab/>
        <w:t xml:space="preserve">D. Marques-Coelho, L. da C. C. Iohan, A. R. Melo de Farias, A. Flaig, J.-C. Lambert, and M. R. Costa, “Differential transcript usage unravels gene expression alterations in Alzheimer’s disease human brains,” </w:t>
      </w:r>
      <w:r w:rsidRPr="001D3C16">
        <w:rPr>
          <w:rFonts w:cs="Times New Roman"/>
          <w:i/>
          <w:iCs/>
        </w:rPr>
        <w:t>Npj Aging Mech. Dis.</w:t>
      </w:r>
      <w:r w:rsidRPr="001D3C16">
        <w:rPr>
          <w:rFonts w:cs="Times New Roman"/>
        </w:rPr>
        <w:t>, vol. 7, no. 1, pp. 1–15, Jan. 2021, doi: 10.1038/s41514-020-00052-5.</w:t>
      </w:r>
    </w:p>
    <w:p w14:paraId="0AD1FB3B" w14:textId="77777777" w:rsidR="001D3C16" w:rsidRPr="001D3C16" w:rsidRDefault="001D3C16" w:rsidP="001D3C16">
      <w:pPr>
        <w:pStyle w:val="afa"/>
        <w:rPr>
          <w:rFonts w:cs="Times New Roman"/>
        </w:rPr>
      </w:pPr>
      <w:r w:rsidRPr="001D3C16">
        <w:rPr>
          <w:rFonts w:cs="Times New Roman"/>
        </w:rPr>
        <w:t>[8]</w:t>
      </w:r>
      <w:r w:rsidRPr="001D3C16">
        <w:rPr>
          <w:rFonts w:cs="Times New Roman"/>
        </w:rPr>
        <w:tab/>
        <w:t xml:space="preserve">H. Wu </w:t>
      </w:r>
      <w:r w:rsidRPr="001D3C16">
        <w:rPr>
          <w:rFonts w:cs="Times New Roman"/>
          <w:i/>
          <w:iCs/>
        </w:rPr>
        <w:t>et al.</w:t>
      </w:r>
      <w:r w:rsidRPr="001D3C16">
        <w:rPr>
          <w:rFonts w:cs="Times New Roman"/>
        </w:rPr>
        <w:t xml:space="preserve">, “Comprehensive transcript-level analysis reveals transcriptional reprogramming during the progression of Alzheimer’s disease,” </w:t>
      </w:r>
      <w:r w:rsidRPr="001D3C16">
        <w:rPr>
          <w:rFonts w:cs="Times New Roman"/>
          <w:i/>
          <w:iCs/>
        </w:rPr>
        <w:t>Front. Aging Neurosci.</w:t>
      </w:r>
      <w:r w:rsidRPr="001D3C16">
        <w:rPr>
          <w:rFonts w:cs="Times New Roman"/>
        </w:rPr>
        <w:t>, vol. 15, Jun. 2023, doi: 10.3389/fnagi.2023.1191680.</w:t>
      </w:r>
    </w:p>
    <w:p w14:paraId="349FBB8F" w14:textId="77777777" w:rsidR="001D3C16" w:rsidRPr="001D3C16" w:rsidRDefault="001D3C16" w:rsidP="001D3C16">
      <w:pPr>
        <w:pStyle w:val="afa"/>
        <w:rPr>
          <w:rFonts w:cs="Times New Roman"/>
        </w:rPr>
      </w:pPr>
      <w:r w:rsidRPr="001D3C16">
        <w:rPr>
          <w:rFonts w:cs="Times New Roman"/>
        </w:rPr>
        <w:t>[9]</w:t>
      </w:r>
      <w:r w:rsidRPr="001D3C16">
        <w:rPr>
          <w:rFonts w:cs="Times New Roman"/>
        </w:rPr>
        <w:tab/>
        <w:t xml:space="preserve">S. K. Leung </w:t>
      </w:r>
      <w:r w:rsidRPr="001D3C16">
        <w:rPr>
          <w:rFonts w:cs="Times New Roman"/>
          <w:i/>
          <w:iCs/>
        </w:rPr>
        <w:t>et al.</w:t>
      </w:r>
      <w:r w:rsidRPr="001D3C16">
        <w:rPr>
          <w:rFonts w:cs="Times New Roman"/>
        </w:rPr>
        <w:t xml:space="preserve">, “Long-read transcript sequencing identifies differential isoform expression in the entorhinal cortex in a transgenic model of tau pathology,” </w:t>
      </w:r>
      <w:r w:rsidRPr="001D3C16">
        <w:rPr>
          <w:rFonts w:cs="Times New Roman"/>
          <w:i/>
          <w:iCs/>
        </w:rPr>
        <w:t>Nat. Commun.</w:t>
      </w:r>
      <w:r w:rsidRPr="001D3C16">
        <w:rPr>
          <w:rFonts w:cs="Times New Roman"/>
        </w:rPr>
        <w:t>, vol. 15, no. 1, p. 6458, Aug. 2024, doi: 10.1038/s41467-024-50486-8.</w:t>
      </w:r>
    </w:p>
    <w:p w14:paraId="6EEB2E78" w14:textId="77777777" w:rsidR="001D3C16" w:rsidRPr="001D3C16" w:rsidRDefault="001D3C16" w:rsidP="001D3C16">
      <w:pPr>
        <w:pStyle w:val="afa"/>
        <w:rPr>
          <w:rFonts w:cs="Times New Roman"/>
        </w:rPr>
      </w:pPr>
      <w:r w:rsidRPr="001D3C16">
        <w:rPr>
          <w:rFonts w:cs="Times New Roman"/>
        </w:rPr>
        <w:t>[10]</w:t>
      </w:r>
      <w:r w:rsidRPr="001D3C16">
        <w:rPr>
          <w:rFonts w:cs="Times New Roman"/>
        </w:rPr>
        <w:tab/>
        <w:t xml:space="preserve">S. Kovaka, A. V. Zimin, G. M. Pertea, R. Razaghi, S. L. Salzberg, and M. Pertea, “Transcriptome assembly from long-read RNA-seq alignments with StringTie2,” </w:t>
      </w:r>
      <w:r w:rsidRPr="001D3C16">
        <w:rPr>
          <w:rFonts w:cs="Times New Roman"/>
          <w:i/>
          <w:iCs/>
        </w:rPr>
        <w:t>Genome Biol.</w:t>
      </w:r>
      <w:r w:rsidRPr="001D3C16">
        <w:rPr>
          <w:rFonts w:cs="Times New Roman"/>
        </w:rPr>
        <w:t>, vol. 20, no. 1, p. 278, Dec. 2019, doi: 10.1186/s13059-019-1910-1.</w:t>
      </w:r>
    </w:p>
    <w:p w14:paraId="4F62A369" w14:textId="77777777" w:rsidR="001D3C16" w:rsidRPr="001D3C16" w:rsidRDefault="001D3C16" w:rsidP="001D3C16">
      <w:pPr>
        <w:pStyle w:val="afa"/>
        <w:rPr>
          <w:rFonts w:cs="Times New Roman"/>
        </w:rPr>
      </w:pPr>
      <w:r w:rsidRPr="001D3C16">
        <w:rPr>
          <w:rFonts w:cs="Times New Roman"/>
        </w:rPr>
        <w:t>[11]</w:t>
      </w:r>
      <w:r w:rsidRPr="001D3C16">
        <w:rPr>
          <w:rFonts w:cs="Times New Roman"/>
        </w:rPr>
        <w:tab/>
        <w:t xml:space="preserve">J. Huerta-Cepas </w:t>
      </w:r>
      <w:r w:rsidRPr="001D3C16">
        <w:rPr>
          <w:rFonts w:cs="Times New Roman"/>
          <w:i/>
          <w:iCs/>
        </w:rPr>
        <w:t>et al.</w:t>
      </w:r>
      <w:r w:rsidRPr="001D3C16">
        <w:rPr>
          <w:rFonts w:cs="Times New Roman"/>
        </w:rPr>
        <w:t xml:space="preserve">, “eggNOG 5.0: a hierarchical, functionally and phylogenetically annotated orthology resource based on 5090 organisms and 2502 viruses,” </w:t>
      </w:r>
      <w:r w:rsidRPr="001D3C16">
        <w:rPr>
          <w:rFonts w:cs="Times New Roman"/>
          <w:i/>
          <w:iCs/>
        </w:rPr>
        <w:t>Nucleic Acids Res.</w:t>
      </w:r>
      <w:r w:rsidRPr="001D3C16">
        <w:rPr>
          <w:rFonts w:cs="Times New Roman"/>
        </w:rPr>
        <w:t>, vol. 47, no. Database issue, pp. D309–D314, Jan. 2019, doi: 10.1093/nar/gky1085.</w:t>
      </w:r>
    </w:p>
    <w:p w14:paraId="1623C9B1" w14:textId="77777777" w:rsidR="001D3C16" w:rsidRPr="001D3C16" w:rsidRDefault="001D3C16" w:rsidP="001D3C16">
      <w:pPr>
        <w:pStyle w:val="afa"/>
        <w:rPr>
          <w:rFonts w:cs="Times New Roman"/>
        </w:rPr>
      </w:pPr>
      <w:r w:rsidRPr="001D3C16">
        <w:rPr>
          <w:rFonts w:cs="Times New Roman"/>
        </w:rPr>
        <w:t>[12]</w:t>
      </w:r>
      <w:r w:rsidRPr="001D3C16">
        <w:rPr>
          <w:rFonts w:cs="Times New Roman"/>
        </w:rPr>
        <w:tab/>
        <w:t xml:space="preserve">T. Rival </w:t>
      </w:r>
      <w:r w:rsidRPr="001D3C16">
        <w:rPr>
          <w:rFonts w:cs="Times New Roman"/>
          <w:i/>
          <w:iCs/>
        </w:rPr>
        <w:t>et al.</w:t>
      </w:r>
      <w:r w:rsidRPr="001D3C16">
        <w:rPr>
          <w:rFonts w:cs="Times New Roman"/>
        </w:rPr>
        <w:t xml:space="preserve">, “Fenton chemistry and oxidative stress mediate the toxicity of the beta-amyloid peptide in a Drosophila model of Alzheimer’s disease,” </w:t>
      </w:r>
      <w:r w:rsidRPr="001D3C16">
        <w:rPr>
          <w:rFonts w:cs="Times New Roman"/>
          <w:i/>
          <w:iCs/>
        </w:rPr>
        <w:t>Eur. J. Neurosci.</w:t>
      </w:r>
      <w:r w:rsidRPr="001D3C16">
        <w:rPr>
          <w:rFonts w:cs="Times New Roman"/>
        </w:rPr>
        <w:t>, vol. 29, no. 7, pp. 1335–1347, Apr. 2009, doi: 10.1111/j.1460-9568.2009.06701.x.</w:t>
      </w:r>
    </w:p>
    <w:p w14:paraId="75FD36E8" w14:textId="77777777" w:rsidR="001D3C16" w:rsidRPr="001D3C16" w:rsidRDefault="001D3C16" w:rsidP="001D3C16">
      <w:pPr>
        <w:pStyle w:val="afa"/>
        <w:rPr>
          <w:rFonts w:cs="Times New Roman"/>
        </w:rPr>
      </w:pPr>
      <w:r w:rsidRPr="001D3C16">
        <w:rPr>
          <w:rFonts w:cs="Times New Roman"/>
        </w:rPr>
        <w:t>[13]</w:t>
      </w:r>
      <w:r w:rsidRPr="001D3C16">
        <w:rPr>
          <w:rFonts w:cs="Times New Roman"/>
        </w:rPr>
        <w:tab/>
        <w:t xml:space="preserve">G. S. Bloom, “Amyloid-β and tau: the trigger and bullet in Alzheimer disease pathogenesis,” </w:t>
      </w:r>
      <w:r w:rsidRPr="001D3C16">
        <w:rPr>
          <w:rFonts w:cs="Times New Roman"/>
          <w:i/>
          <w:iCs/>
        </w:rPr>
        <w:t>JAMA Neurol.</w:t>
      </w:r>
      <w:r w:rsidRPr="001D3C16">
        <w:rPr>
          <w:rFonts w:cs="Times New Roman"/>
        </w:rPr>
        <w:t>, vol. 71, no. 4, pp. 505–508, Apr. 2014, doi: 10.1001/jamaneurol.2013.5847.</w:t>
      </w:r>
    </w:p>
    <w:p w14:paraId="0E30578C" w14:textId="77777777" w:rsidR="001D3C16" w:rsidRPr="001D3C16" w:rsidRDefault="001D3C16" w:rsidP="001D3C16">
      <w:pPr>
        <w:pStyle w:val="afa"/>
        <w:rPr>
          <w:rFonts w:cs="Times New Roman"/>
        </w:rPr>
      </w:pPr>
      <w:r w:rsidRPr="001D3C16">
        <w:rPr>
          <w:rFonts w:cs="Times New Roman"/>
        </w:rPr>
        <w:t>[14]</w:t>
      </w:r>
      <w:r w:rsidRPr="001D3C16">
        <w:rPr>
          <w:rFonts w:cs="Times New Roman"/>
        </w:rPr>
        <w:tab/>
        <w:t xml:space="preserve">Z.-G. Xiong, G. Pignataro, M. Li, S. Chang, and R. P. Simon, “Acid-Sensing Ion Channels (ASICs) as Pharmacological Targets for Neurodegenerative Diseases,” </w:t>
      </w:r>
      <w:r w:rsidRPr="001D3C16">
        <w:rPr>
          <w:rFonts w:cs="Times New Roman"/>
          <w:i/>
          <w:iCs/>
        </w:rPr>
        <w:t>Curr. Opin. Pharmacol.</w:t>
      </w:r>
      <w:r w:rsidRPr="001D3C16">
        <w:rPr>
          <w:rFonts w:cs="Times New Roman"/>
        </w:rPr>
        <w:t>, vol. 8, no. 1, pp. 25–32, Feb. 2008, doi: 10.1016/j.coph.2007.09.001.</w:t>
      </w:r>
    </w:p>
    <w:p w14:paraId="6F9B53AC" w14:textId="77777777" w:rsidR="001D3C16" w:rsidRPr="001D3C16" w:rsidRDefault="001D3C16" w:rsidP="001D3C16">
      <w:pPr>
        <w:pStyle w:val="afa"/>
        <w:rPr>
          <w:rFonts w:cs="Times New Roman"/>
        </w:rPr>
      </w:pPr>
      <w:r w:rsidRPr="001D3C16">
        <w:rPr>
          <w:rFonts w:cs="Times New Roman"/>
        </w:rPr>
        <w:t>[15]</w:t>
      </w:r>
      <w:r w:rsidRPr="001D3C16">
        <w:rPr>
          <w:rFonts w:cs="Times New Roman"/>
        </w:rPr>
        <w:tab/>
        <w:t xml:space="preserve">A. Rijpma, M. van der Graaf, O. Meulenbroek, M. G. M. Olde Rikkert, and A. Heerschap, “Altered brain high-energy phosphate metabolism in mild Alzheimer’s disease: A 3-dimensional 31P MR spectroscopic imaging study,” </w:t>
      </w:r>
      <w:r w:rsidRPr="001D3C16">
        <w:rPr>
          <w:rFonts w:cs="Times New Roman"/>
          <w:i/>
          <w:iCs/>
        </w:rPr>
        <w:t>NeuroImage Clin.</w:t>
      </w:r>
      <w:r w:rsidRPr="001D3C16">
        <w:rPr>
          <w:rFonts w:cs="Times New Roman"/>
        </w:rPr>
        <w:t>, vol. 18, pp. 254–261, Feb. 2018, doi: 10.1016/j.nicl.2018.01.031.</w:t>
      </w:r>
    </w:p>
    <w:p w14:paraId="34E5E811" w14:textId="77777777" w:rsidR="001D3C16" w:rsidRPr="001D3C16" w:rsidRDefault="001D3C16" w:rsidP="001D3C16">
      <w:pPr>
        <w:pStyle w:val="afa"/>
        <w:rPr>
          <w:rFonts w:cs="Times New Roman"/>
        </w:rPr>
      </w:pPr>
      <w:r w:rsidRPr="001D3C16">
        <w:rPr>
          <w:rFonts w:cs="Times New Roman"/>
        </w:rPr>
        <w:t>[16]</w:t>
      </w:r>
      <w:r w:rsidRPr="001D3C16">
        <w:rPr>
          <w:rFonts w:cs="Times New Roman"/>
        </w:rPr>
        <w:tab/>
        <w:t xml:space="preserve">Y. Xu, Z. Huang, and X. Mu, “Chapter 14 - Understanding Alzheimer’s disease at the chemistry level,” in </w:t>
      </w:r>
      <w:r w:rsidRPr="001D3C16">
        <w:rPr>
          <w:rFonts w:cs="Times New Roman"/>
          <w:i/>
          <w:iCs/>
        </w:rPr>
        <w:t>Introduction to Condensed Matter Chemistry</w:t>
      </w:r>
      <w:r w:rsidRPr="001D3C16">
        <w:rPr>
          <w:rFonts w:cs="Times New Roman"/>
        </w:rPr>
        <w:t>, R. Xu, J. Yu, and W. Yan, Eds., Elsevier, 2024, pp. 379–405. doi: 10.1016/B978-0-443-16140-7.00008-0.</w:t>
      </w:r>
    </w:p>
    <w:p w14:paraId="7304B44E" w14:textId="77777777" w:rsidR="001D3C16" w:rsidRPr="001D3C16" w:rsidRDefault="001D3C16" w:rsidP="001D3C16">
      <w:pPr>
        <w:pStyle w:val="afa"/>
        <w:rPr>
          <w:rFonts w:cs="Times New Roman"/>
        </w:rPr>
      </w:pPr>
      <w:r w:rsidRPr="001D3C16">
        <w:rPr>
          <w:rFonts w:cs="Times New Roman"/>
        </w:rPr>
        <w:t>[17]</w:t>
      </w:r>
      <w:r w:rsidRPr="001D3C16">
        <w:rPr>
          <w:rFonts w:cs="Times New Roman"/>
        </w:rPr>
        <w:tab/>
        <w:t xml:space="preserve">Z. Huang, Q. Chen, X. Mu, Z. An, and Y. Xu, “Elucidating the Functional Roles of Long Non-Coding RNAs in Alzheimer’s Disease,” </w:t>
      </w:r>
      <w:r w:rsidRPr="001D3C16">
        <w:rPr>
          <w:rFonts w:cs="Times New Roman"/>
          <w:i/>
          <w:iCs/>
        </w:rPr>
        <w:t>Int. J. Mol. Sci.</w:t>
      </w:r>
      <w:r w:rsidRPr="001D3C16">
        <w:rPr>
          <w:rFonts w:cs="Times New Roman"/>
        </w:rPr>
        <w:t>, vol. 25, no. 17, Art. no. 17, Jan. 2024, doi: 10.3390/ijms25179211.</w:t>
      </w:r>
    </w:p>
    <w:p w14:paraId="16861644" w14:textId="77777777" w:rsidR="001D3C16" w:rsidRPr="001D3C16" w:rsidRDefault="001D3C16" w:rsidP="001D3C16">
      <w:pPr>
        <w:pStyle w:val="afa"/>
        <w:rPr>
          <w:rFonts w:cs="Times New Roman"/>
        </w:rPr>
      </w:pPr>
      <w:r w:rsidRPr="001D3C16">
        <w:rPr>
          <w:rFonts w:cs="Times New Roman"/>
        </w:rPr>
        <w:t>[18]</w:t>
      </w:r>
      <w:r w:rsidRPr="001D3C16">
        <w:rPr>
          <w:rFonts w:cs="Times New Roman"/>
        </w:rPr>
        <w:tab/>
        <w:t>“Introduction to Condensed Matter Chemistry - 1st Edition | Elsevier Shop.” Accessed: Apr. 16, 2024. [Online]. Available: https://shop.elsevier.com/books/introduction-to-condensed-matter-</w:t>
      </w:r>
      <w:r w:rsidRPr="001D3C16">
        <w:rPr>
          <w:rFonts w:cs="Times New Roman"/>
        </w:rPr>
        <w:lastRenderedPageBreak/>
        <w:t>chemistry/yu/978-0-443-16140-7</w:t>
      </w:r>
    </w:p>
    <w:p w14:paraId="3110E0FB" w14:textId="77777777" w:rsidR="001D3C16" w:rsidRPr="001D3C16" w:rsidRDefault="001D3C16" w:rsidP="001D3C16">
      <w:pPr>
        <w:pStyle w:val="afa"/>
        <w:rPr>
          <w:rFonts w:cs="Times New Roman"/>
        </w:rPr>
      </w:pPr>
      <w:r w:rsidRPr="001D3C16">
        <w:rPr>
          <w:rFonts w:cs="Times New Roman"/>
        </w:rPr>
        <w:t>[19]</w:t>
      </w:r>
      <w:r w:rsidRPr="001D3C16">
        <w:rPr>
          <w:rFonts w:cs="Times New Roman"/>
        </w:rPr>
        <w:tab/>
        <w:t xml:space="preserve">D. Marques-Coelho, L. da C. C. Iohan, A. R. Melo de Farias, A. Flaig, J.-C. Lambert, and M. R. Costa, “Differential transcript usage unravels gene expression alterations in Alzheimer’s disease human brains,” </w:t>
      </w:r>
      <w:r w:rsidRPr="001D3C16">
        <w:rPr>
          <w:rFonts w:cs="Times New Roman"/>
          <w:i/>
          <w:iCs/>
        </w:rPr>
        <w:t>Npj Aging Mech. Dis.</w:t>
      </w:r>
      <w:r w:rsidRPr="001D3C16">
        <w:rPr>
          <w:rFonts w:cs="Times New Roman"/>
        </w:rPr>
        <w:t>, vol. 7, no. 1, pp. 1–15, Jan. 2021, doi: 10.1038/s41514-020-00052-5.</w:t>
      </w:r>
    </w:p>
    <w:p w14:paraId="6F93D273" w14:textId="77777777" w:rsidR="001D3C16" w:rsidRPr="001D3C16" w:rsidRDefault="001D3C16" w:rsidP="001D3C16">
      <w:pPr>
        <w:pStyle w:val="afa"/>
        <w:rPr>
          <w:rFonts w:cs="Times New Roman"/>
        </w:rPr>
      </w:pPr>
      <w:r w:rsidRPr="001D3C16">
        <w:rPr>
          <w:rFonts w:cs="Times New Roman"/>
        </w:rPr>
        <w:t>[20]</w:t>
      </w:r>
      <w:r w:rsidRPr="001D3C16">
        <w:rPr>
          <w:rFonts w:cs="Times New Roman"/>
        </w:rPr>
        <w:tab/>
        <w:t xml:space="preserve">C. Fan </w:t>
      </w:r>
      <w:r w:rsidRPr="001D3C16">
        <w:rPr>
          <w:rFonts w:cs="Times New Roman"/>
          <w:i/>
          <w:iCs/>
        </w:rPr>
        <w:t>et al.</w:t>
      </w:r>
      <w:r w:rsidRPr="001D3C16">
        <w:rPr>
          <w:rFonts w:cs="Times New Roman"/>
        </w:rPr>
        <w:t xml:space="preserve">, “Systematic analysis to identify transcriptome-wide dysregulation of Alzheimer’s disease in genes and isoforms,” </w:t>
      </w:r>
      <w:r w:rsidRPr="001D3C16">
        <w:rPr>
          <w:rFonts w:cs="Times New Roman"/>
          <w:i/>
          <w:iCs/>
        </w:rPr>
        <w:t>Hum. Genet.</w:t>
      </w:r>
      <w:r w:rsidRPr="001D3C16">
        <w:rPr>
          <w:rFonts w:cs="Times New Roman"/>
        </w:rPr>
        <w:t>, vol. 140, no. 4, pp. 609–623, Apr. 2021, doi: 10.1007/s00439-020-02230-7.</w:t>
      </w:r>
    </w:p>
    <w:p w14:paraId="14FD7ABE" w14:textId="77777777" w:rsidR="001D3C16" w:rsidRPr="001D3C16" w:rsidRDefault="001D3C16" w:rsidP="001D3C16">
      <w:pPr>
        <w:pStyle w:val="afa"/>
        <w:rPr>
          <w:rFonts w:cs="Times New Roman"/>
        </w:rPr>
      </w:pPr>
      <w:r w:rsidRPr="001D3C16">
        <w:rPr>
          <w:rFonts w:cs="Times New Roman"/>
        </w:rPr>
        <w:t>[21]</w:t>
      </w:r>
      <w:r w:rsidRPr="001D3C16">
        <w:rPr>
          <w:rFonts w:cs="Times New Roman"/>
        </w:rPr>
        <w:tab/>
        <w:t xml:space="preserve">J. R. Casey, S. Grinstein, and J. Orlowski, “Sensors and regulators of intracellular pH,” </w:t>
      </w:r>
      <w:r w:rsidRPr="001D3C16">
        <w:rPr>
          <w:rFonts w:cs="Times New Roman"/>
          <w:i/>
          <w:iCs/>
        </w:rPr>
        <w:t>Nat. Rev. Mol. Cell Biol.</w:t>
      </w:r>
      <w:r w:rsidRPr="001D3C16">
        <w:rPr>
          <w:rFonts w:cs="Times New Roman"/>
        </w:rPr>
        <w:t>, vol. 11, no. 1, Art. no. 1, Jan. 2010, doi: 10.1038/nrm2820.</w:t>
      </w:r>
    </w:p>
    <w:p w14:paraId="5B5A9354" w14:textId="77777777" w:rsidR="001D3C16" w:rsidRPr="001D3C16" w:rsidRDefault="001D3C16" w:rsidP="001D3C16">
      <w:pPr>
        <w:pStyle w:val="afa"/>
        <w:rPr>
          <w:rFonts w:cs="Times New Roman"/>
        </w:rPr>
      </w:pPr>
      <w:r w:rsidRPr="001D3C16">
        <w:rPr>
          <w:rFonts w:cs="Times New Roman"/>
        </w:rPr>
        <w:t>[22]</w:t>
      </w:r>
      <w:r w:rsidRPr="001D3C16">
        <w:rPr>
          <w:rFonts w:cs="Times New Roman"/>
        </w:rPr>
        <w:tab/>
        <w:t xml:space="preserve">D. Trabzuni </w:t>
      </w:r>
      <w:r w:rsidRPr="001D3C16">
        <w:rPr>
          <w:rFonts w:cs="Times New Roman"/>
          <w:i/>
          <w:iCs/>
        </w:rPr>
        <w:t>et al.</w:t>
      </w:r>
      <w:r w:rsidRPr="001D3C16">
        <w:rPr>
          <w:rFonts w:cs="Times New Roman"/>
        </w:rPr>
        <w:t xml:space="preserve">, “Quality control parameters on a large dataset of regionally dissected human control brains for whole genome expression studies,” </w:t>
      </w:r>
      <w:r w:rsidRPr="001D3C16">
        <w:rPr>
          <w:rFonts w:cs="Times New Roman"/>
          <w:i/>
          <w:iCs/>
        </w:rPr>
        <w:t>J. Neurochem.</w:t>
      </w:r>
      <w:r w:rsidRPr="001D3C16">
        <w:rPr>
          <w:rFonts w:cs="Times New Roman"/>
        </w:rPr>
        <w:t>, vol. 119, no. 2, pp. 275–282, Oct. 2011, doi: 10.1111/j.1471-4159.2011.07432.x.</w:t>
      </w:r>
    </w:p>
    <w:p w14:paraId="3CD2E238" w14:textId="77777777" w:rsidR="001D3C16" w:rsidRPr="001D3C16" w:rsidRDefault="001D3C16" w:rsidP="001D3C16">
      <w:pPr>
        <w:pStyle w:val="afa"/>
        <w:rPr>
          <w:rFonts w:cs="Times New Roman"/>
        </w:rPr>
      </w:pPr>
      <w:r w:rsidRPr="001D3C16">
        <w:rPr>
          <w:rFonts w:cs="Times New Roman"/>
        </w:rPr>
        <w:t>[23]</w:t>
      </w:r>
      <w:r w:rsidRPr="001D3C16">
        <w:rPr>
          <w:rFonts w:cs="Times New Roman"/>
        </w:rPr>
        <w:tab/>
        <w:t xml:space="preserve">Y. Chen </w:t>
      </w:r>
      <w:r w:rsidRPr="001D3C16">
        <w:rPr>
          <w:rFonts w:cs="Times New Roman"/>
          <w:i/>
          <w:iCs/>
        </w:rPr>
        <w:t>et al.</w:t>
      </w:r>
      <w:r w:rsidRPr="001D3C16">
        <w:rPr>
          <w:rFonts w:cs="Times New Roman"/>
        </w:rPr>
        <w:t xml:space="preserve">, “SOAPnuke: a MapReduce acceleration-supported software for integrated quality control and preprocessing of high-throughput sequencing data,” </w:t>
      </w:r>
      <w:r w:rsidRPr="001D3C16">
        <w:rPr>
          <w:rFonts w:cs="Times New Roman"/>
          <w:i/>
          <w:iCs/>
        </w:rPr>
        <w:t>GigaScience</w:t>
      </w:r>
      <w:r w:rsidRPr="001D3C16">
        <w:rPr>
          <w:rFonts w:cs="Times New Roman"/>
        </w:rPr>
        <w:t>, vol. 7, no. 1, Dec. 2017, doi: 10.1093/gigascience/gix120.</w:t>
      </w:r>
    </w:p>
    <w:p w14:paraId="013D5CFB" w14:textId="77777777" w:rsidR="001D3C16" w:rsidRPr="001D3C16" w:rsidRDefault="001D3C16" w:rsidP="001D3C16">
      <w:pPr>
        <w:pStyle w:val="afa"/>
        <w:rPr>
          <w:rFonts w:cs="Times New Roman"/>
        </w:rPr>
      </w:pPr>
      <w:r w:rsidRPr="001D3C16">
        <w:rPr>
          <w:rFonts w:cs="Times New Roman"/>
        </w:rPr>
        <w:t>[24]</w:t>
      </w:r>
      <w:r w:rsidRPr="001D3C16">
        <w:rPr>
          <w:rFonts w:cs="Times New Roman"/>
        </w:rPr>
        <w:tab/>
        <w:t xml:space="preserve">L. Wang, S. Wang, and W. Li, “RSeQC: quality control of RNA-seq experiments,” </w:t>
      </w:r>
      <w:r w:rsidRPr="001D3C16">
        <w:rPr>
          <w:rFonts w:cs="Times New Roman"/>
          <w:i/>
          <w:iCs/>
        </w:rPr>
        <w:t>Bioinformatics</w:t>
      </w:r>
      <w:r w:rsidRPr="001D3C16">
        <w:rPr>
          <w:rFonts w:cs="Times New Roman"/>
        </w:rPr>
        <w:t>, vol. 28, no. 16, pp. 2184–2185, Aug. 2012, doi: 10.1093/bioinformatics/bts356.</w:t>
      </w:r>
    </w:p>
    <w:p w14:paraId="2A24CC79" w14:textId="77777777" w:rsidR="001D3C16" w:rsidRPr="001D3C16" w:rsidRDefault="001D3C16" w:rsidP="001D3C16">
      <w:pPr>
        <w:pStyle w:val="afa"/>
        <w:rPr>
          <w:rFonts w:cs="Times New Roman"/>
        </w:rPr>
      </w:pPr>
      <w:r w:rsidRPr="001D3C16">
        <w:rPr>
          <w:rFonts w:cs="Times New Roman"/>
        </w:rPr>
        <w:t>[25]</w:t>
      </w:r>
      <w:r w:rsidRPr="001D3C16">
        <w:rPr>
          <w:rFonts w:cs="Times New Roman"/>
        </w:rPr>
        <w:tab/>
        <w:t xml:space="preserve">Y. Zhang, C. Park, C. Bennett, M. Thornton, and D. Kim, “Rapid and accurate alignment of nucleotide conversion sequencing reads with HISAT-3N,” </w:t>
      </w:r>
      <w:r w:rsidRPr="001D3C16">
        <w:rPr>
          <w:rFonts w:cs="Times New Roman"/>
          <w:i/>
          <w:iCs/>
        </w:rPr>
        <w:t>Genome Res.</w:t>
      </w:r>
      <w:r w:rsidRPr="001D3C16">
        <w:rPr>
          <w:rFonts w:cs="Times New Roman"/>
        </w:rPr>
        <w:t>, vol. 31, no. 7, pp. 1290–1295, Jan. 2021, doi: 10.1101/gr.275193.120.</w:t>
      </w:r>
    </w:p>
    <w:p w14:paraId="60C4F5C7" w14:textId="77777777" w:rsidR="001D3C16" w:rsidRPr="001D3C16" w:rsidRDefault="001D3C16" w:rsidP="001D3C16">
      <w:pPr>
        <w:pStyle w:val="afa"/>
        <w:rPr>
          <w:rFonts w:cs="Times New Roman"/>
        </w:rPr>
      </w:pPr>
      <w:r w:rsidRPr="001D3C16">
        <w:rPr>
          <w:rFonts w:cs="Times New Roman"/>
        </w:rPr>
        <w:t>[26]</w:t>
      </w:r>
      <w:r w:rsidRPr="001D3C16">
        <w:rPr>
          <w:rFonts w:cs="Times New Roman"/>
        </w:rPr>
        <w:tab/>
        <w:t xml:space="preserve">A. Shumate, B. Wong, G. Pertea, and M. Pertea, “Improved transcriptome assembly using a hybrid of long and short reads with StringTie,” </w:t>
      </w:r>
      <w:r w:rsidRPr="001D3C16">
        <w:rPr>
          <w:rFonts w:cs="Times New Roman"/>
          <w:i/>
          <w:iCs/>
        </w:rPr>
        <w:t>PLOS Comput. Biol.</w:t>
      </w:r>
      <w:r w:rsidRPr="001D3C16">
        <w:rPr>
          <w:rFonts w:cs="Times New Roman"/>
        </w:rPr>
        <w:t>, vol. 18, no. 6, p. e1009730, Jun. 2022, doi: 10.1371/journal.pcbi.1009730.</w:t>
      </w:r>
    </w:p>
    <w:p w14:paraId="7F15C4FE" w14:textId="77777777" w:rsidR="001D3C16" w:rsidRPr="001D3C16" w:rsidRDefault="001D3C16" w:rsidP="001D3C16">
      <w:pPr>
        <w:pStyle w:val="afa"/>
        <w:rPr>
          <w:rFonts w:cs="Times New Roman"/>
        </w:rPr>
      </w:pPr>
      <w:r w:rsidRPr="001D3C16">
        <w:rPr>
          <w:rFonts w:cs="Times New Roman"/>
        </w:rPr>
        <w:t>[27]</w:t>
      </w:r>
      <w:r w:rsidRPr="001D3C16">
        <w:rPr>
          <w:rFonts w:cs="Times New Roman"/>
        </w:rPr>
        <w:tab/>
        <w:t xml:space="preserve">G. Pertea and M. Pertea, “GFF Utilities: GffRead and GffCompare,” </w:t>
      </w:r>
      <w:r w:rsidRPr="001D3C16">
        <w:rPr>
          <w:rFonts w:cs="Times New Roman"/>
          <w:i/>
          <w:iCs/>
        </w:rPr>
        <w:t>F1000Research</w:t>
      </w:r>
      <w:r w:rsidRPr="001D3C16">
        <w:rPr>
          <w:rFonts w:cs="Times New Roman"/>
        </w:rPr>
        <w:t>, vol. 9, Apr. 2020, doi: 10.12688/f1000research.23297.1.</w:t>
      </w:r>
    </w:p>
    <w:p w14:paraId="013349CD" w14:textId="77777777" w:rsidR="001D3C16" w:rsidRPr="001D3C16" w:rsidRDefault="001D3C16" w:rsidP="001D3C16">
      <w:pPr>
        <w:pStyle w:val="afa"/>
        <w:rPr>
          <w:rFonts w:cs="Times New Roman"/>
        </w:rPr>
      </w:pPr>
      <w:r w:rsidRPr="001D3C16">
        <w:rPr>
          <w:rFonts w:cs="Times New Roman"/>
        </w:rPr>
        <w:t>[28]</w:t>
      </w:r>
      <w:r w:rsidRPr="001D3C16">
        <w:rPr>
          <w:rFonts w:cs="Times New Roman"/>
        </w:rPr>
        <w:tab/>
        <w:t xml:space="preserve">A. C. Frazee, G. Pertea, A. E. Jaffe, B. Langmead, S. L. Salzberg, and J. T. Leek, “Ballgown bridges the gap between transcriptome assembly and expression analysis,” </w:t>
      </w:r>
      <w:r w:rsidRPr="001D3C16">
        <w:rPr>
          <w:rFonts w:cs="Times New Roman"/>
          <w:i/>
          <w:iCs/>
        </w:rPr>
        <w:t>Nat. Biotechnol.</w:t>
      </w:r>
      <w:r w:rsidRPr="001D3C16">
        <w:rPr>
          <w:rFonts w:cs="Times New Roman"/>
        </w:rPr>
        <w:t>, vol. 33, no. 3, pp. 243–246, Mar. 2015, doi: 10.1038/nbt.3172.</w:t>
      </w:r>
    </w:p>
    <w:p w14:paraId="27A2E4F6" w14:textId="77777777" w:rsidR="001D3C16" w:rsidRPr="001D3C16" w:rsidRDefault="001D3C16" w:rsidP="001D3C16">
      <w:pPr>
        <w:pStyle w:val="afa"/>
        <w:rPr>
          <w:rFonts w:cs="Times New Roman"/>
        </w:rPr>
      </w:pPr>
      <w:r w:rsidRPr="001D3C16">
        <w:rPr>
          <w:rFonts w:cs="Times New Roman"/>
        </w:rPr>
        <w:t>[29]</w:t>
      </w:r>
      <w:r w:rsidRPr="001D3C16">
        <w:rPr>
          <w:rFonts w:cs="Times New Roman"/>
        </w:rPr>
        <w:tab/>
        <w:t xml:space="preserve">Y. Liu </w:t>
      </w:r>
      <w:r w:rsidRPr="001D3C16">
        <w:rPr>
          <w:rFonts w:cs="Times New Roman"/>
          <w:i/>
          <w:iCs/>
        </w:rPr>
        <w:t>et al.</w:t>
      </w:r>
      <w:r w:rsidRPr="001D3C16">
        <w:rPr>
          <w:rFonts w:cs="Times New Roman"/>
        </w:rPr>
        <w:t xml:space="preserve">, “Long non-coding RNA and circular RNA and coding RNA profiling of plasma exosomes of osteosarcoma by RNA seq,” </w:t>
      </w:r>
      <w:r w:rsidRPr="001D3C16">
        <w:rPr>
          <w:rFonts w:cs="Times New Roman"/>
          <w:i/>
          <w:iCs/>
        </w:rPr>
        <w:t>Sci. Data</w:t>
      </w:r>
      <w:r w:rsidRPr="001D3C16">
        <w:rPr>
          <w:rFonts w:cs="Times New Roman"/>
        </w:rPr>
        <w:t>, vol. 10, no. 1, Art. no. 1, Jun. 2023, doi: 10.1038/s41597-023-02295-9.</w:t>
      </w:r>
    </w:p>
    <w:p w14:paraId="2F3680A5" w14:textId="77777777" w:rsidR="001D3C16" w:rsidRPr="001D3C16" w:rsidRDefault="001D3C16" w:rsidP="001D3C16">
      <w:pPr>
        <w:pStyle w:val="afa"/>
        <w:rPr>
          <w:rFonts w:cs="Times New Roman"/>
        </w:rPr>
      </w:pPr>
      <w:r w:rsidRPr="001D3C16">
        <w:rPr>
          <w:rFonts w:cs="Times New Roman"/>
        </w:rPr>
        <w:t>[30]</w:t>
      </w:r>
      <w:r w:rsidRPr="001D3C16">
        <w:rPr>
          <w:rFonts w:cs="Times New Roman"/>
        </w:rPr>
        <w:tab/>
        <w:t xml:space="preserve">S. Han, Y. Liang, Y. Li, and W. Du, “Long Noncoding RNA Identification: Comparing Machine Learning Based Tools for Long Noncoding Transcripts Discrimination,” </w:t>
      </w:r>
      <w:r w:rsidRPr="001D3C16">
        <w:rPr>
          <w:rFonts w:cs="Times New Roman"/>
          <w:i/>
          <w:iCs/>
        </w:rPr>
        <w:t>BioMed Res. Int.</w:t>
      </w:r>
      <w:r w:rsidRPr="001D3C16">
        <w:rPr>
          <w:rFonts w:cs="Times New Roman"/>
        </w:rPr>
        <w:t>, vol. 2016, 2016, doi: 10.1155/2016/8496165.</w:t>
      </w:r>
    </w:p>
    <w:p w14:paraId="58F1FFA9" w14:textId="77777777" w:rsidR="001D3C16" w:rsidRPr="001D3C16" w:rsidRDefault="001D3C16" w:rsidP="001D3C16">
      <w:pPr>
        <w:pStyle w:val="afa"/>
        <w:rPr>
          <w:rFonts w:cs="Times New Roman"/>
        </w:rPr>
      </w:pPr>
      <w:r w:rsidRPr="001D3C16">
        <w:rPr>
          <w:rFonts w:cs="Times New Roman"/>
        </w:rPr>
        <w:t>[31]</w:t>
      </w:r>
      <w:r w:rsidRPr="001D3C16">
        <w:rPr>
          <w:rFonts w:cs="Times New Roman"/>
        </w:rPr>
        <w:tab/>
        <w:t xml:space="preserve">L. Wang, H. J. Park, S. Dasari, S. Wang, J.-P. Kocher, and W. Li, “CPAT: Coding-Potential Assessment Tool using an alignment-free logistic regression model,” </w:t>
      </w:r>
      <w:r w:rsidRPr="001D3C16">
        <w:rPr>
          <w:rFonts w:cs="Times New Roman"/>
          <w:i/>
          <w:iCs/>
        </w:rPr>
        <w:t>Nucleic Acids Res.</w:t>
      </w:r>
      <w:r w:rsidRPr="001D3C16">
        <w:rPr>
          <w:rFonts w:cs="Times New Roman"/>
        </w:rPr>
        <w:t>, vol. 41, no. 6, p. e74, Apr. 2013, doi: 10.1093/nar/gkt006.</w:t>
      </w:r>
    </w:p>
    <w:p w14:paraId="56E9E40D" w14:textId="77777777" w:rsidR="001D3C16" w:rsidRPr="001D3C16" w:rsidRDefault="001D3C16" w:rsidP="001D3C16">
      <w:pPr>
        <w:pStyle w:val="afa"/>
        <w:rPr>
          <w:rFonts w:cs="Times New Roman"/>
        </w:rPr>
      </w:pPr>
      <w:r w:rsidRPr="001D3C16">
        <w:rPr>
          <w:rFonts w:cs="Times New Roman"/>
        </w:rPr>
        <w:t>[32]</w:t>
      </w:r>
      <w:r w:rsidRPr="001D3C16">
        <w:rPr>
          <w:rFonts w:cs="Times New Roman"/>
        </w:rPr>
        <w:tab/>
        <w:t xml:space="preserve">Y.-J. Kang </w:t>
      </w:r>
      <w:r w:rsidRPr="001D3C16">
        <w:rPr>
          <w:rFonts w:cs="Times New Roman"/>
          <w:i/>
          <w:iCs/>
        </w:rPr>
        <w:t>et al.</w:t>
      </w:r>
      <w:r w:rsidRPr="001D3C16">
        <w:rPr>
          <w:rFonts w:cs="Times New Roman"/>
        </w:rPr>
        <w:t xml:space="preserve">, “CPC2: a fast and accurate coding potential calculator based on sequence intrinsic features,” </w:t>
      </w:r>
      <w:r w:rsidRPr="001D3C16">
        <w:rPr>
          <w:rFonts w:cs="Times New Roman"/>
          <w:i/>
          <w:iCs/>
        </w:rPr>
        <w:t>Nucleic Acids Res.</w:t>
      </w:r>
      <w:r w:rsidRPr="001D3C16">
        <w:rPr>
          <w:rFonts w:cs="Times New Roman"/>
        </w:rPr>
        <w:t>, vol. 45, no. W1, pp. W12–W16, Jul. 2017, doi: 10.1093/nar/gkx428.</w:t>
      </w:r>
    </w:p>
    <w:p w14:paraId="65DEAD39" w14:textId="77777777" w:rsidR="001D3C16" w:rsidRPr="001D3C16" w:rsidRDefault="001D3C16" w:rsidP="001D3C16">
      <w:pPr>
        <w:pStyle w:val="afa"/>
        <w:rPr>
          <w:rFonts w:cs="Times New Roman"/>
        </w:rPr>
      </w:pPr>
      <w:r w:rsidRPr="001D3C16">
        <w:rPr>
          <w:rFonts w:cs="Times New Roman"/>
        </w:rPr>
        <w:t>[33]</w:t>
      </w:r>
      <w:r w:rsidRPr="001D3C16">
        <w:rPr>
          <w:rFonts w:cs="Times New Roman"/>
        </w:rPr>
        <w:tab/>
        <w:t xml:space="preserve">X. Tong and S. Liu, “CPPred: coding potential prediction based on the global description of RNA sequence,” </w:t>
      </w:r>
      <w:r w:rsidRPr="001D3C16">
        <w:rPr>
          <w:rFonts w:cs="Times New Roman"/>
          <w:i/>
          <w:iCs/>
        </w:rPr>
        <w:t>Nucleic Acids Res.</w:t>
      </w:r>
      <w:r w:rsidRPr="001D3C16">
        <w:rPr>
          <w:rFonts w:cs="Times New Roman"/>
        </w:rPr>
        <w:t>, vol. 47, no. 8, pp. e43–e43, May 2019, doi: 10.1093/nar/gkz087.</w:t>
      </w:r>
    </w:p>
    <w:p w14:paraId="2AA85021" w14:textId="77777777" w:rsidR="001D3C16" w:rsidRPr="001D3C16" w:rsidRDefault="001D3C16" w:rsidP="001D3C16">
      <w:pPr>
        <w:pStyle w:val="afa"/>
        <w:rPr>
          <w:rFonts w:cs="Times New Roman"/>
        </w:rPr>
      </w:pPr>
      <w:r w:rsidRPr="001D3C16">
        <w:rPr>
          <w:rFonts w:cs="Times New Roman"/>
        </w:rPr>
        <w:t>[34]</w:t>
      </w:r>
      <w:r w:rsidRPr="001D3C16">
        <w:rPr>
          <w:rFonts w:cs="Times New Roman"/>
        </w:rPr>
        <w:tab/>
        <w:t xml:space="preserve">A. Li, J. Zhang, and Z. Zhou, “PLEK: a tool for predicting long non-coding RNAs and messenger </w:t>
      </w:r>
      <w:r w:rsidRPr="001D3C16">
        <w:rPr>
          <w:rFonts w:cs="Times New Roman"/>
        </w:rPr>
        <w:lastRenderedPageBreak/>
        <w:t xml:space="preserve">RNAs based on an improved k-mer scheme,” </w:t>
      </w:r>
      <w:r w:rsidRPr="001D3C16">
        <w:rPr>
          <w:rFonts w:cs="Times New Roman"/>
          <w:i/>
          <w:iCs/>
        </w:rPr>
        <w:t>BMC Bioinformatics</w:t>
      </w:r>
      <w:r w:rsidRPr="001D3C16">
        <w:rPr>
          <w:rFonts w:cs="Times New Roman"/>
        </w:rPr>
        <w:t>, vol. 15, no. 1, p. 311, Sep. 2014, doi: 10.1186/1471-2105-15-311.</w:t>
      </w:r>
    </w:p>
    <w:p w14:paraId="1616D576" w14:textId="77777777" w:rsidR="001D3C16" w:rsidRPr="001D3C16" w:rsidRDefault="001D3C16" w:rsidP="001D3C16">
      <w:pPr>
        <w:pStyle w:val="afa"/>
        <w:rPr>
          <w:rFonts w:cs="Times New Roman"/>
        </w:rPr>
      </w:pPr>
      <w:r w:rsidRPr="001D3C16">
        <w:rPr>
          <w:rFonts w:cs="Times New Roman"/>
        </w:rPr>
        <w:t>[35]</w:t>
      </w:r>
      <w:r w:rsidRPr="001D3C16">
        <w:rPr>
          <w:rFonts w:cs="Times New Roman"/>
        </w:rPr>
        <w:tab/>
        <w:t xml:space="preserve">J. Harrow </w:t>
      </w:r>
      <w:r w:rsidRPr="001D3C16">
        <w:rPr>
          <w:rFonts w:cs="Times New Roman"/>
          <w:i/>
          <w:iCs/>
        </w:rPr>
        <w:t>et al.</w:t>
      </w:r>
      <w:r w:rsidRPr="001D3C16">
        <w:rPr>
          <w:rFonts w:cs="Times New Roman"/>
        </w:rPr>
        <w:t xml:space="preserve">, “GENCODE: The reference human genome annotation for The ENCODE Project,” </w:t>
      </w:r>
      <w:r w:rsidRPr="001D3C16">
        <w:rPr>
          <w:rFonts w:cs="Times New Roman"/>
          <w:i/>
          <w:iCs/>
        </w:rPr>
        <w:t>Genome Res.</w:t>
      </w:r>
      <w:r w:rsidRPr="001D3C16">
        <w:rPr>
          <w:rFonts w:cs="Times New Roman"/>
        </w:rPr>
        <w:t>, vol. 22, no. 9, pp. 1760–1774, Sep. 2012, doi: 10.1101/gr.135350.111.</w:t>
      </w:r>
    </w:p>
    <w:p w14:paraId="0507D0AF" w14:textId="77777777" w:rsidR="001D3C16" w:rsidRPr="001D3C16" w:rsidRDefault="001D3C16" w:rsidP="001D3C16">
      <w:pPr>
        <w:pStyle w:val="afa"/>
        <w:rPr>
          <w:rFonts w:cs="Times New Roman"/>
        </w:rPr>
      </w:pPr>
      <w:r w:rsidRPr="001D3C16">
        <w:rPr>
          <w:rFonts w:cs="Times New Roman"/>
        </w:rPr>
        <w:t>[36]</w:t>
      </w:r>
      <w:r w:rsidRPr="001D3C16">
        <w:rPr>
          <w:rFonts w:cs="Times New Roman"/>
        </w:rPr>
        <w:tab/>
        <w:t xml:space="preserve">M. I. Love, W. Huber, and S. Anders, “Moderated estimation of fold change and dispersion for RNA-seq data with DESeq2,” </w:t>
      </w:r>
      <w:r w:rsidRPr="001D3C16">
        <w:rPr>
          <w:rFonts w:cs="Times New Roman"/>
          <w:i/>
          <w:iCs/>
        </w:rPr>
        <w:t>Genome Biol.</w:t>
      </w:r>
      <w:r w:rsidRPr="001D3C16">
        <w:rPr>
          <w:rFonts w:cs="Times New Roman"/>
        </w:rPr>
        <w:t>, vol. 15, no. 12, p. 550, Dec. 2014, doi: 10.1186/s13059-014-0550-8.</w:t>
      </w:r>
    </w:p>
    <w:p w14:paraId="17DD81A0" w14:textId="77777777" w:rsidR="001D3C16" w:rsidRPr="001D3C16" w:rsidRDefault="001D3C16" w:rsidP="001D3C16">
      <w:pPr>
        <w:pStyle w:val="afa"/>
        <w:rPr>
          <w:rFonts w:cs="Times New Roman"/>
        </w:rPr>
      </w:pPr>
      <w:r w:rsidRPr="001D3C16">
        <w:rPr>
          <w:rFonts w:cs="Times New Roman"/>
        </w:rPr>
        <w:t>[37]</w:t>
      </w:r>
      <w:r w:rsidRPr="001D3C16">
        <w:rPr>
          <w:rFonts w:cs="Times New Roman"/>
        </w:rPr>
        <w:tab/>
        <w:t xml:space="preserve">J. Zhou, S. Ma, D. Wang, J. Zeng, and T. Jiang, “FreePSI: an alignment-free approach to estimating exon-inclusion ratios without a reference transcriptome,” </w:t>
      </w:r>
      <w:r w:rsidRPr="001D3C16">
        <w:rPr>
          <w:rFonts w:cs="Times New Roman"/>
          <w:i/>
          <w:iCs/>
        </w:rPr>
        <w:t>Nucleic Acids Res.</w:t>
      </w:r>
      <w:r w:rsidRPr="001D3C16">
        <w:rPr>
          <w:rFonts w:cs="Times New Roman"/>
        </w:rPr>
        <w:t>, vol. 46, no. 2, p. e11, Jan. 2018, doi: 10.1093/nar/gkx1059.</w:t>
      </w:r>
    </w:p>
    <w:p w14:paraId="27C28582" w14:textId="77777777" w:rsidR="001D3C16" w:rsidRPr="001D3C16" w:rsidRDefault="001D3C16" w:rsidP="001D3C16">
      <w:pPr>
        <w:pStyle w:val="afa"/>
        <w:rPr>
          <w:rFonts w:cs="Times New Roman"/>
        </w:rPr>
      </w:pPr>
      <w:r w:rsidRPr="001D3C16">
        <w:rPr>
          <w:rFonts w:cs="Times New Roman"/>
        </w:rPr>
        <w:t>[38]</w:t>
      </w:r>
      <w:r w:rsidRPr="001D3C16">
        <w:rPr>
          <w:rFonts w:cs="Times New Roman"/>
        </w:rPr>
        <w:tab/>
        <w:t xml:space="preserve">A. Subramanian </w:t>
      </w:r>
      <w:r w:rsidRPr="001D3C16">
        <w:rPr>
          <w:rFonts w:cs="Times New Roman"/>
          <w:i/>
          <w:iCs/>
        </w:rPr>
        <w:t>et al.</w:t>
      </w:r>
      <w:r w:rsidRPr="001D3C16">
        <w:rPr>
          <w:rFonts w:cs="Times New Roman"/>
        </w:rPr>
        <w:t xml:space="preserve">, “Gene set enrichment analysis: A knowledge-based approach for interpreting genome-wide expression profiles,” </w:t>
      </w:r>
      <w:r w:rsidRPr="001D3C16">
        <w:rPr>
          <w:rFonts w:cs="Times New Roman"/>
          <w:i/>
          <w:iCs/>
        </w:rPr>
        <w:t>Proc. Natl. Acad. Sci.</w:t>
      </w:r>
      <w:r w:rsidRPr="001D3C16">
        <w:rPr>
          <w:rFonts w:cs="Times New Roman"/>
        </w:rPr>
        <w:t>, vol. 102, no. 43, pp. 15545–15550, Oct. 2005, doi: 10.1073/pnas.0506580102.</w:t>
      </w:r>
    </w:p>
    <w:p w14:paraId="6C889069" w14:textId="77777777" w:rsidR="001D3C16" w:rsidRPr="001D3C16" w:rsidRDefault="001D3C16" w:rsidP="001D3C16">
      <w:pPr>
        <w:pStyle w:val="afa"/>
        <w:rPr>
          <w:rFonts w:cs="Times New Roman"/>
        </w:rPr>
      </w:pPr>
      <w:r w:rsidRPr="001D3C16">
        <w:rPr>
          <w:rFonts w:cs="Times New Roman"/>
        </w:rPr>
        <w:t>[39]</w:t>
      </w:r>
      <w:r w:rsidRPr="001D3C16">
        <w:rPr>
          <w:rFonts w:cs="Times New Roman"/>
        </w:rPr>
        <w:tab/>
        <w:t xml:space="preserve">C. P. Ponting, P. L. Oliver, and W. Reik, “Evolution and functions of long noncoding RNAs,” </w:t>
      </w:r>
      <w:r w:rsidRPr="001D3C16">
        <w:rPr>
          <w:rFonts w:cs="Times New Roman"/>
          <w:i/>
          <w:iCs/>
        </w:rPr>
        <w:t>Cell</w:t>
      </w:r>
      <w:r w:rsidRPr="001D3C16">
        <w:rPr>
          <w:rFonts w:cs="Times New Roman"/>
        </w:rPr>
        <w:t>, vol. 136, no. 4, pp. 629–641, Feb. 2009, doi: 10.1016/j.cell.2009.02.006.</w:t>
      </w:r>
    </w:p>
    <w:p w14:paraId="4E18F139" w14:textId="77777777" w:rsidR="001D3C16" w:rsidRPr="001D3C16" w:rsidRDefault="001D3C16" w:rsidP="001D3C16">
      <w:pPr>
        <w:pStyle w:val="afa"/>
        <w:rPr>
          <w:rFonts w:cs="Times New Roman"/>
        </w:rPr>
      </w:pPr>
      <w:r w:rsidRPr="001D3C16">
        <w:rPr>
          <w:rFonts w:cs="Times New Roman"/>
        </w:rPr>
        <w:t>[40]</w:t>
      </w:r>
      <w:r w:rsidRPr="001D3C16">
        <w:rPr>
          <w:rFonts w:cs="Times New Roman"/>
        </w:rPr>
        <w:tab/>
        <w:t xml:space="preserve">A. E. Kornienko, P. M. Guenzl, D. P. Barlow, and F. M. Pauler, “Gene regulation by the act of long non-coding RNA transcription,” </w:t>
      </w:r>
      <w:r w:rsidRPr="001D3C16">
        <w:rPr>
          <w:rFonts w:cs="Times New Roman"/>
          <w:i/>
          <w:iCs/>
        </w:rPr>
        <w:t>BMC Biol.</w:t>
      </w:r>
      <w:r w:rsidRPr="001D3C16">
        <w:rPr>
          <w:rFonts w:cs="Times New Roman"/>
        </w:rPr>
        <w:t>, vol. 11, p. 59, May 2013, doi: 10.1186/1741-7007-11-59.</w:t>
      </w:r>
    </w:p>
    <w:p w14:paraId="2DEAF2E5" w14:textId="77777777" w:rsidR="001D3C16" w:rsidRPr="001D3C16" w:rsidRDefault="001D3C16" w:rsidP="001D3C16">
      <w:pPr>
        <w:pStyle w:val="afa"/>
        <w:rPr>
          <w:rFonts w:cs="Times New Roman"/>
        </w:rPr>
      </w:pPr>
      <w:r w:rsidRPr="001D3C16">
        <w:rPr>
          <w:rFonts w:cs="Times New Roman"/>
        </w:rPr>
        <w:t>[41]</w:t>
      </w:r>
      <w:r w:rsidRPr="001D3C16">
        <w:rPr>
          <w:rFonts w:cs="Times New Roman"/>
        </w:rPr>
        <w:tab/>
        <w:t xml:space="preserve">S. Liu </w:t>
      </w:r>
      <w:r w:rsidRPr="001D3C16">
        <w:rPr>
          <w:rFonts w:cs="Times New Roman"/>
          <w:i/>
          <w:iCs/>
        </w:rPr>
        <w:t>et al.</w:t>
      </w:r>
      <w:r w:rsidRPr="001D3C16">
        <w:rPr>
          <w:rFonts w:cs="Times New Roman"/>
        </w:rPr>
        <w:t xml:space="preserve">, “Whole-Transcriptome RNA Sequencing Uncovers the Global Expression Changes and RNA Regulatory Networks in Duck Embryonic Myogenesis,” </w:t>
      </w:r>
      <w:r w:rsidRPr="001D3C16">
        <w:rPr>
          <w:rFonts w:cs="Times New Roman"/>
          <w:i/>
          <w:iCs/>
        </w:rPr>
        <w:t>Int. J. Mol. Sci.</w:t>
      </w:r>
      <w:r w:rsidRPr="001D3C16">
        <w:rPr>
          <w:rFonts w:cs="Times New Roman"/>
        </w:rPr>
        <w:t>, vol. 24, no. 22, p. 16387, Nov. 2023, doi: 10.3390/ijms242216387.</w:t>
      </w:r>
    </w:p>
    <w:p w14:paraId="29751734" w14:textId="77777777" w:rsidR="001D3C16" w:rsidRPr="001D3C16" w:rsidRDefault="001D3C16" w:rsidP="001D3C16">
      <w:pPr>
        <w:pStyle w:val="afa"/>
        <w:rPr>
          <w:rFonts w:cs="Times New Roman"/>
        </w:rPr>
      </w:pPr>
      <w:r w:rsidRPr="001D3C16">
        <w:rPr>
          <w:rFonts w:cs="Times New Roman"/>
        </w:rPr>
        <w:t>[42]</w:t>
      </w:r>
      <w:r w:rsidRPr="001D3C16">
        <w:rPr>
          <w:rFonts w:cs="Times New Roman"/>
        </w:rPr>
        <w:tab/>
        <w:t xml:space="preserve">X. Li </w:t>
      </w:r>
      <w:r w:rsidRPr="001D3C16">
        <w:rPr>
          <w:rFonts w:cs="Times New Roman"/>
          <w:i/>
          <w:iCs/>
        </w:rPr>
        <w:t>et al.</w:t>
      </w:r>
      <w:r w:rsidRPr="001D3C16">
        <w:rPr>
          <w:rFonts w:cs="Times New Roman"/>
        </w:rPr>
        <w:t xml:space="preserve">, “Global identification and analysis revealed differentially expressed lncRNAs associated with meiosis and low fertility in autotetraploid rice,” </w:t>
      </w:r>
      <w:r w:rsidRPr="001D3C16">
        <w:rPr>
          <w:rFonts w:cs="Times New Roman"/>
          <w:i/>
          <w:iCs/>
        </w:rPr>
        <w:t>BMC Plant Biol.</w:t>
      </w:r>
      <w:r w:rsidRPr="001D3C16">
        <w:rPr>
          <w:rFonts w:cs="Times New Roman"/>
        </w:rPr>
        <w:t>, vol. 20, p. 82, Feb. 2020, doi: 10.1186/s12870-020-2290-0.</w:t>
      </w:r>
    </w:p>
    <w:p w14:paraId="0C0801D5" w14:textId="77777777" w:rsidR="001D3C16" w:rsidRPr="001D3C16" w:rsidRDefault="001D3C16" w:rsidP="001D3C16">
      <w:pPr>
        <w:pStyle w:val="afa"/>
        <w:rPr>
          <w:rFonts w:cs="Times New Roman"/>
        </w:rPr>
      </w:pPr>
      <w:r w:rsidRPr="001D3C16">
        <w:rPr>
          <w:rFonts w:cs="Times New Roman"/>
        </w:rPr>
        <w:t>[43]</w:t>
      </w:r>
      <w:r w:rsidRPr="001D3C16">
        <w:rPr>
          <w:rFonts w:cs="Times New Roman"/>
        </w:rPr>
        <w:tab/>
        <w:t xml:space="preserve">A. Wenzel, E. Akbaşli, and J. Gorodkin, “RIsearch: fast RNA–RNA interaction search using a simplified nearest-neighbor energy model,” </w:t>
      </w:r>
      <w:r w:rsidRPr="001D3C16">
        <w:rPr>
          <w:rFonts w:cs="Times New Roman"/>
          <w:i/>
          <w:iCs/>
        </w:rPr>
        <w:t>Bioinformatics</w:t>
      </w:r>
      <w:r w:rsidRPr="001D3C16">
        <w:rPr>
          <w:rFonts w:cs="Times New Roman"/>
        </w:rPr>
        <w:t>, vol. 28, no. 21, pp. 2738–2746, Nov. 2012, doi: 10.1093/bioinformatics/bts519.</w:t>
      </w:r>
    </w:p>
    <w:p w14:paraId="2A3AF6FC" w14:textId="77777777" w:rsidR="001D3C16" w:rsidRPr="001D3C16" w:rsidRDefault="001D3C16" w:rsidP="001D3C16">
      <w:pPr>
        <w:pStyle w:val="afa"/>
        <w:rPr>
          <w:rFonts w:cs="Times New Roman"/>
        </w:rPr>
      </w:pPr>
      <w:r w:rsidRPr="001D3C16">
        <w:rPr>
          <w:rFonts w:cs="Times New Roman"/>
        </w:rPr>
        <w:t>[44]</w:t>
      </w:r>
      <w:r w:rsidRPr="001D3C16">
        <w:rPr>
          <w:rFonts w:cs="Times New Roman"/>
        </w:rPr>
        <w:tab/>
        <w:t xml:space="preserve">H. Sun </w:t>
      </w:r>
      <w:r w:rsidRPr="001D3C16">
        <w:rPr>
          <w:rFonts w:cs="Times New Roman"/>
          <w:i/>
          <w:iCs/>
        </w:rPr>
        <w:t>et al.</w:t>
      </w:r>
      <w:r w:rsidRPr="001D3C16">
        <w:rPr>
          <w:rFonts w:cs="Times New Roman"/>
        </w:rPr>
        <w:t xml:space="preserve">, “Genome-wide transcriptional profiling and functional analysis of long noncoding RNAs and mRNAs in chicken macrophages associated with the infection of avian pathogenic E. coli,” </w:t>
      </w:r>
      <w:r w:rsidRPr="001D3C16">
        <w:rPr>
          <w:rFonts w:cs="Times New Roman"/>
          <w:i/>
          <w:iCs/>
        </w:rPr>
        <w:t>BMC Vet. Res.</w:t>
      </w:r>
      <w:r w:rsidRPr="001D3C16">
        <w:rPr>
          <w:rFonts w:cs="Times New Roman"/>
        </w:rPr>
        <w:t>, vol. 20, 2024, doi: 10.1186/s12917-024-03890-7.</w:t>
      </w:r>
    </w:p>
    <w:p w14:paraId="3321FAA3" w14:textId="77777777" w:rsidR="001D3C16" w:rsidRPr="001D3C16" w:rsidRDefault="001D3C16" w:rsidP="001D3C16">
      <w:pPr>
        <w:pStyle w:val="afa"/>
        <w:rPr>
          <w:rFonts w:cs="Times New Roman"/>
        </w:rPr>
      </w:pPr>
      <w:r w:rsidRPr="001D3C16">
        <w:rPr>
          <w:rFonts w:cs="Times New Roman"/>
        </w:rPr>
        <w:t>[45]</w:t>
      </w:r>
      <w:r w:rsidRPr="001D3C16">
        <w:rPr>
          <w:rFonts w:cs="Times New Roman"/>
        </w:rPr>
        <w:tab/>
        <w:t xml:space="preserve">G. Ke </w:t>
      </w:r>
      <w:r w:rsidRPr="001D3C16">
        <w:rPr>
          <w:rFonts w:cs="Times New Roman"/>
          <w:i/>
          <w:iCs/>
        </w:rPr>
        <w:t>et al.</w:t>
      </w:r>
      <w:r w:rsidRPr="001D3C16">
        <w:rPr>
          <w:rFonts w:cs="Times New Roman"/>
        </w:rPr>
        <w:t xml:space="preserve">, “LightGBM: A Highly Efficient Gradient Boosting Decision Tree,” in </w:t>
      </w:r>
      <w:r w:rsidRPr="001D3C16">
        <w:rPr>
          <w:rFonts w:cs="Times New Roman"/>
          <w:i/>
          <w:iCs/>
        </w:rPr>
        <w:t>Advances in Neural Information Processing Systems</w:t>
      </w:r>
      <w:r w:rsidRPr="001D3C16">
        <w:rPr>
          <w:rFonts w:cs="Times New Roman"/>
        </w:rPr>
        <w:t>, I. Guyon, U. V. Luxburg, S. Bengio, H. Wallach, R. Fergus, S. Vishwanathan, and R. Garnett, Eds., Curran Associates, Inc., 2017. [Online]. Available: https://proceedings.neurips.cc/paper_files/paper/2017/file/6449f44a102fde848669bdd9eb6b76fa-Paper.pdf</w:t>
      </w:r>
    </w:p>
    <w:p w14:paraId="0C07BDBC" w14:textId="4137E1B3" w:rsidR="00500DAD" w:rsidRPr="002C2F74" w:rsidRDefault="009D47CB">
      <w:pPr>
        <w:widowControl/>
        <w:jc w:val="left"/>
        <w:rPr>
          <w:b/>
          <w:bCs/>
        </w:rPr>
      </w:pPr>
      <w:r w:rsidRPr="002C2F74">
        <w:rPr>
          <w:b/>
          <w:bCs/>
        </w:rPr>
        <w:fldChar w:fldCharType="end"/>
      </w:r>
    </w:p>
    <w:p w14:paraId="18636675" w14:textId="4C14FA61" w:rsidR="00175482" w:rsidRPr="002C2F74" w:rsidRDefault="00500DAD">
      <w:pPr>
        <w:widowControl/>
        <w:jc w:val="left"/>
        <w:rPr>
          <w:b/>
          <w:bCs/>
        </w:rPr>
      </w:pPr>
      <w:r w:rsidRPr="002C2F74">
        <w:rPr>
          <w:b/>
          <w:bCs/>
        </w:rPr>
        <w:br w:type="page"/>
      </w:r>
    </w:p>
    <w:p w14:paraId="3352B32D" w14:textId="77777777" w:rsidR="00A52CFA" w:rsidRPr="002C2F74" w:rsidRDefault="00A52CFA" w:rsidP="00A52CFA">
      <w:pPr>
        <w:snapToGrid w:val="0"/>
        <w:spacing w:line="276" w:lineRule="auto"/>
        <w:jc w:val="center"/>
        <w:rPr>
          <w:rFonts w:cs="Times New Roman"/>
          <w:b/>
          <w:bCs/>
        </w:rPr>
      </w:pPr>
      <w:r w:rsidRPr="002C2F74">
        <w:rPr>
          <w:rFonts w:cs="Times New Roman" w:hint="eastAsia"/>
          <w:b/>
          <w:bCs/>
        </w:rPr>
        <w:lastRenderedPageBreak/>
        <w:t>Table1</w:t>
      </w:r>
      <w:r w:rsidRPr="002C2F74">
        <w:rPr>
          <w:rFonts w:cs="Times New Roman" w:hint="eastAsia"/>
          <w:b/>
          <w:bCs/>
        </w:rPr>
        <w:t>：</w:t>
      </w:r>
      <w:r w:rsidRPr="002C2F74">
        <w:rPr>
          <w:rFonts w:cs="Times New Roman"/>
        </w:rPr>
        <w:t>Summary of assembled transcript.</w:t>
      </w:r>
    </w:p>
    <w:tbl>
      <w:tblPr>
        <w:tblStyle w:val="afb"/>
        <w:tblW w:w="9209" w:type="dxa"/>
        <w:tblLook w:val="04A0" w:firstRow="1" w:lastRow="0" w:firstColumn="1" w:lastColumn="0" w:noHBand="0" w:noVBand="1"/>
      </w:tblPr>
      <w:tblGrid>
        <w:gridCol w:w="1124"/>
        <w:gridCol w:w="2616"/>
        <w:gridCol w:w="1296"/>
        <w:gridCol w:w="1028"/>
        <w:gridCol w:w="1728"/>
        <w:gridCol w:w="1417"/>
      </w:tblGrid>
      <w:tr w:rsidR="00A52CFA" w:rsidRPr="002C2F74" w14:paraId="51A67F8B" w14:textId="77777777" w:rsidTr="003054A2">
        <w:tc>
          <w:tcPr>
            <w:tcW w:w="1124" w:type="dxa"/>
            <w:vAlign w:val="center"/>
          </w:tcPr>
          <w:p w14:paraId="06B0954D" w14:textId="77777777" w:rsidR="00A52CFA" w:rsidRPr="002C2F74" w:rsidRDefault="00A52CFA" w:rsidP="003054A2">
            <w:pPr>
              <w:widowControl/>
              <w:jc w:val="center"/>
              <w:rPr>
                <w:rFonts w:cs="Times New Roman"/>
                <w:b/>
                <w:bCs/>
                <w:sz w:val="20"/>
                <w:szCs w:val="20"/>
              </w:rPr>
            </w:pPr>
            <w:r w:rsidRPr="002C2F74">
              <w:rPr>
                <w:rFonts w:eastAsia="等线" w:cs="Times New Roman"/>
                <w:b/>
                <w:bCs/>
                <w:color w:val="000000"/>
                <w:sz w:val="20"/>
                <w:szCs w:val="20"/>
              </w:rPr>
              <w:t>Cohort</w:t>
            </w:r>
          </w:p>
        </w:tc>
        <w:tc>
          <w:tcPr>
            <w:tcW w:w="2616" w:type="dxa"/>
            <w:vAlign w:val="center"/>
          </w:tcPr>
          <w:p w14:paraId="3F5C572E" w14:textId="77777777" w:rsidR="00A52CFA" w:rsidRPr="002C2F74" w:rsidRDefault="00A52CFA" w:rsidP="003054A2">
            <w:pPr>
              <w:widowControl/>
              <w:jc w:val="center"/>
              <w:rPr>
                <w:rFonts w:cs="Times New Roman"/>
                <w:b/>
                <w:bCs/>
                <w:sz w:val="20"/>
                <w:szCs w:val="20"/>
              </w:rPr>
            </w:pPr>
            <w:r w:rsidRPr="002C2F74">
              <w:rPr>
                <w:rFonts w:eastAsia="等线" w:cs="Times New Roman"/>
                <w:b/>
                <w:bCs/>
                <w:color w:val="000000"/>
                <w:sz w:val="20"/>
                <w:szCs w:val="20"/>
              </w:rPr>
              <w:t>Region</w:t>
            </w:r>
          </w:p>
        </w:tc>
        <w:tc>
          <w:tcPr>
            <w:tcW w:w="1296" w:type="dxa"/>
            <w:vAlign w:val="center"/>
          </w:tcPr>
          <w:p w14:paraId="54895FFE" w14:textId="77777777" w:rsidR="00A52CFA" w:rsidRPr="002C2F74" w:rsidRDefault="00A52CFA" w:rsidP="003054A2">
            <w:pPr>
              <w:widowControl/>
              <w:jc w:val="center"/>
              <w:rPr>
                <w:rFonts w:cs="Times New Roman"/>
                <w:b/>
                <w:bCs/>
                <w:sz w:val="20"/>
                <w:szCs w:val="20"/>
              </w:rPr>
            </w:pPr>
            <w:r w:rsidRPr="002C2F74">
              <w:rPr>
                <w:rFonts w:eastAsia="等线" w:cs="Times New Roman"/>
                <w:b/>
                <w:bCs/>
                <w:color w:val="000000"/>
                <w:sz w:val="20"/>
                <w:szCs w:val="20"/>
              </w:rPr>
              <w:t>Stage</w:t>
            </w:r>
          </w:p>
        </w:tc>
        <w:tc>
          <w:tcPr>
            <w:tcW w:w="1028" w:type="dxa"/>
            <w:vAlign w:val="center"/>
          </w:tcPr>
          <w:p w14:paraId="35347CC6" w14:textId="77777777" w:rsidR="00A52CFA" w:rsidRPr="002C2F74" w:rsidRDefault="00A52CFA" w:rsidP="003054A2">
            <w:pPr>
              <w:widowControl/>
              <w:jc w:val="center"/>
              <w:rPr>
                <w:rFonts w:cs="Times New Roman"/>
                <w:b/>
                <w:bCs/>
                <w:sz w:val="20"/>
                <w:szCs w:val="20"/>
              </w:rPr>
            </w:pPr>
            <w:r w:rsidRPr="002C2F74">
              <w:rPr>
                <w:rFonts w:eastAsia="等线" w:cs="Times New Roman"/>
                <w:b/>
                <w:bCs/>
                <w:color w:val="000000"/>
                <w:sz w:val="20"/>
                <w:szCs w:val="20"/>
              </w:rPr>
              <w:t>#Samples</w:t>
            </w:r>
          </w:p>
        </w:tc>
        <w:tc>
          <w:tcPr>
            <w:tcW w:w="1728" w:type="dxa"/>
          </w:tcPr>
          <w:p w14:paraId="39A3882E" w14:textId="77777777" w:rsidR="00A52CFA" w:rsidRPr="002C2F74" w:rsidRDefault="00A52CFA" w:rsidP="003054A2">
            <w:pPr>
              <w:widowControl/>
              <w:jc w:val="center"/>
              <w:rPr>
                <w:rFonts w:eastAsia="等线" w:cs="Times New Roman"/>
                <w:b/>
                <w:bCs/>
                <w:color w:val="000000"/>
                <w:sz w:val="18"/>
                <w:szCs w:val="18"/>
              </w:rPr>
            </w:pPr>
            <w:r w:rsidRPr="002C2F74">
              <w:rPr>
                <w:rFonts w:eastAsia="等线" w:cs="Times New Roman"/>
                <w:b/>
                <w:bCs/>
                <w:color w:val="000000"/>
                <w:sz w:val="18"/>
                <w:szCs w:val="18"/>
              </w:rPr>
              <w:t>#Protein-encoding transcripts</w:t>
            </w:r>
          </w:p>
        </w:tc>
        <w:tc>
          <w:tcPr>
            <w:tcW w:w="1417" w:type="dxa"/>
          </w:tcPr>
          <w:p w14:paraId="51AC14CB" w14:textId="77777777" w:rsidR="00A52CFA" w:rsidRPr="002C2F74" w:rsidRDefault="00A52CFA" w:rsidP="003054A2">
            <w:pPr>
              <w:widowControl/>
              <w:jc w:val="center"/>
              <w:rPr>
                <w:rFonts w:eastAsia="等线" w:cs="Times New Roman"/>
                <w:b/>
                <w:bCs/>
                <w:color w:val="000000"/>
                <w:sz w:val="20"/>
                <w:szCs w:val="20"/>
              </w:rPr>
            </w:pPr>
            <w:r w:rsidRPr="002C2F74">
              <w:rPr>
                <w:rFonts w:eastAsia="等线" w:cs="Times New Roman"/>
                <w:b/>
                <w:bCs/>
                <w:color w:val="000000"/>
                <w:sz w:val="20"/>
                <w:szCs w:val="20"/>
              </w:rPr>
              <w:t>#lncRNAs</w:t>
            </w:r>
          </w:p>
        </w:tc>
      </w:tr>
      <w:tr w:rsidR="00A52CFA" w:rsidRPr="002C2F74" w14:paraId="7E7B1461" w14:textId="77777777" w:rsidTr="003054A2">
        <w:tc>
          <w:tcPr>
            <w:tcW w:w="1124" w:type="dxa"/>
            <w:vAlign w:val="center"/>
          </w:tcPr>
          <w:p w14:paraId="7B77E27E"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ROSMAP</w:t>
            </w:r>
          </w:p>
        </w:tc>
        <w:tc>
          <w:tcPr>
            <w:tcW w:w="2616" w:type="dxa"/>
            <w:vAlign w:val="center"/>
          </w:tcPr>
          <w:p w14:paraId="4138E44C"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Dorsolateral prefrontal cortex</w:t>
            </w:r>
          </w:p>
        </w:tc>
        <w:tc>
          <w:tcPr>
            <w:tcW w:w="1296" w:type="dxa"/>
            <w:vAlign w:val="center"/>
          </w:tcPr>
          <w:p w14:paraId="3E9B206F"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Normal</w:t>
            </w:r>
          </w:p>
        </w:tc>
        <w:tc>
          <w:tcPr>
            <w:tcW w:w="1028" w:type="dxa"/>
            <w:vAlign w:val="center"/>
          </w:tcPr>
          <w:p w14:paraId="60382095"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189</w:t>
            </w:r>
          </w:p>
        </w:tc>
        <w:tc>
          <w:tcPr>
            <w:tcW w:w="1728" w:type="dxa"/>
          </w:tcPr>
          <w:p w14:paraId="6446E14C" w14:textId="6C811494" w:rsidR="00A52CFA" w:rsidRPr="002C2F74" w:rsidRDefault="00A52CFA" w:rsidP="003054A2">
            <w:pPr>
              <w:widowControl/>
              <w:jc w:val="left"/>
              <w:rPr>
                <w:rFonts w:eastAsia="等线" w:cs="Times New Roman"/>
                <w:color w:val="000000"/>
                <w:sz w:val="20"/>
                <w:szCs w:val="20"/>
              </w:rPr>
            </w:pPr>
            <w:r w:rsidRPr="002C2F74">
              <w:rPr>
                <w:rFonts w:eastAsia="等线" w:cs="Times New Roman"/>
                <w:color w:val="000000"/>
                <w:sz w:val="20"/>
                <w:szCs w:val="20"/>
              </w:rPr>
              <w:t>206</w:t>
            </w:r>
            <w:r w:rsidR="0060013B">
              <w:rPr>
                <w:rFonts w:eastAsia="等线" w:cs="Times New Roman"/>
                <w:color w:val="000000"/>
                <w:sz w:val="20"/>
                <w:szCs w:val="20"/>
              </w:rPr>
              <w:t>,</w:t>
            </w:r>
            <w:r w:rsidRPr="002C2F74">
              <w:rPr>
                <w:rFonts w:eastAsia="等线" w:cs="Times New Roman"/>
                <w:color w:val="000000"/>
                <w:sz w:val="20"/>
                <w:szCs w:val="20"/>
              </w:rPr>
              <w:t>573</w:t>
            </w:r>
          </w:p>
        </w:tc>
        <w:tc>
          <w:tcPr>
            <w:tcW w:w="1417" w:type="dxa"/>
          </w:tcPr>
          <w:p w14:paraId="0E3E1367" w14:textId="37A1CD58" w:rsidR="00A52CFA" w:rsidRPr="002C2F74" w:rsidRDefault="00A52CFA" w:rsidP="003054A2">
            <w:pPr>
              <w:widowControl/>
              <w:jc w:val="left"/>
              <w:rPr>
                <w:rFonts w:eastAsia="等线" w:cs="Times New Roman"/>
                <w:color w:val="000000"/>
                <w:sz w:val="20"/>
                <w:szCs w:val="20"/>
              </w:rPr>
            </w:pPr>
            <w:r w:rsidRPr="002C2F74">
              <w:rPr>
                <w:rFonts w:eastAsia="等线" w:cs="Times New Roman"/>
                <w:color w:val="000000"/>
                <w:sz w:val="20"/>
                <w:szCs w:val="20"/>
              </w:rPr>
              <w:t>49</w:t>
            </w:r>
            <w:r w:rsidR="0060013B">
              <w:rPr>
                <w:rFonts w:eastAsia="等线" w:cs="Times New Roman"/>
                <w:color w:val="000000"/>
                <w:sz w:val="20"/>
                <w:szCs w:val="20"/>
              </w:rPr>
              <w:t>,</w:t>
            </w:r>
            <w:r w:rsidRPr="002C2F74">
              <w:rPr>
                <w:rFonts w:eastAsia="等线" w:cs="Times New Roman"/>
                <w:color w:val="000000"/>
                <w:sz w:val="20"/>
                <w:szCs w:val="20"/>
              </w:rPr>
              <w:t>965</w:t>
            </w:r>
          </w:p>
        </w:tc>
      </w:tr>
      <w:tr w:rsidR="00A52CFA" w:rsidRPr="002C2F74" w14:paraId="6EF4BF3C" w14:textId="77777777" w:rsidTr="003054A2">
        <w:tc>
          <w:tcPr>
            <w:tcW w:w="1124" w:type="dxa"/>
            <w:vAlign w:val="center"/>
          </w:tcPr>
          <w:p w14:paraId="52C9D5C2"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ROSMAP</w:t>
            </w:r>
          </w:p>
        </w:tc>
        <w:tc>
          <w:tcPr>
            <w:tcW w:w="2616" w:type="dxa"/>
            <w:vAlign w:val="center"/>
          </w:tcPr>
          <w:p w14:paraId="241A4B85"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Dorsolateral prefrontal cortex</w:t>
            </w:r>
          </w:p>
        </w:tc>
        <w:tc>
          <w:tcPr>
            <w:tcW w:w="1296" w:type="dxa"/>
            <w:vAlign w:val="center"/>
          </w:tcPr>
          <w:p w14:paraId="1FCFF134"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MCI</w:t>
            </w:r>
          </w:p>
        </w:tc>
        <w:tc>
          <w:tcPr>
            <w:tcW w:w="1028" w:type="dxa"/>
            <w:vAlign w:val="center"/>
          </w:tcPr>
          <w:p w14:paraId="07652119"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146</w:t>
            </w:r>
          </w:p>
        </w:tc>
        <w:tc>
          <w:tcPr>
            <w:tcW w:w="1728" w:type="dxa"/>
          </w:tcPr>
          <w:p w14:paraId="4DB38151" w14:textId="00439897" w:rsidR="00A52CFA" w:rsidRPr="002C2F74" w:rsidRDefault="00A52CFA" w:rsidP="003054A2">
            <w:pPr>
              <w:widowControl/>
              <w:jc w:val="left"/>
              <w:rPr>
                <w:rFonts w:eastAsia="等线" w:cs="Times New Roman"/>
                <w:color w:val="000000"/>
                <w:sz w:val="20"/>
                <w:szCs w:val="20"/>
              </w:rPr>
            </w:pPr>
            <w:r w:rsidRPr="002C2F74">
              <w:rPr>
                <w:rFonts w:eastAsia="等线" w:cs="Times New Roman"/>
                <w:color w:val="000000"/>
                <w:sz w:val="20"/>
                <w:szCs w:val="20"/>
              </w:rPr>
              <w:t>204</w:t>
            </w:r>
            <w:r w:rsidR="0060013B">
              <w:rPr>
                <w:rFonts w:eastAsia="等线" w:cs="Times New Roman"/>
                <w:color w:val="000000"/>
                <w:sz w:val="20"/>
                <w:szCs w:val="20"/>
              </w:rPr>
              <w:t>,</w:t>
            </w:r>
            <w:r w:rsidRPr="002C2F74">
              <w:rPr>
                <w:rFonts w:eastAsia="等线" w:cs="Times New Roman"/>
                <w:color w:val="000000"/>
                <w:sz w:val="20"/>
                <w:szCs w:val="20"/>
              </w:rPr>
              <w:t>800</w:t>
            </w:r>
          </w:p>
        </w:tc>
        <w:tc>
          <w:tcPr>
            <w:tcW w:w="1417" w:type="dxa"/>
          </w:tcPr>
          <w:p w14:paraId="7A74D3F8" w14:textId="0E9B0192" w:rsidR="00A52CFA" w:rsidRPr="002C2F74" w:rsidRDefault="00A52CFA" w:rsidP="003054A2">
            <w:pPr>
              <w:widowControl/>
              <w:jc w:val="left"/>
              <w:rPr>
                <w:rFonts w:eastAsia="等线" w:cs="Times New Roman"/>
                <w:color w:val="000000"/>
                <w:sz w:val="20"/>
                <w:szCs w:val="20"/>
              </w:rPr>
            </w:pPr>
            <w:r w:rsidRPr="002C2F74">
              <w:rPr>
                <w:rFonts w:eastAsia="等线" w:cs="Times New Roman"/>
                <w:color w:val="000000"/>
                <w:sz w:val="20"/>
                <w:szCs w:val="20"/>
              </w:rPr>
              <w:t>49</w:t>
            </w:r>
            <w:r w:rsidR="0060013B">
              <w:rPr>
                <w:rFonts w:eastAsia="等线" w:cs="Times New Roman"/>
                <w:color w:val="000000"/>
                <w:sz w:val="20"/>
                <w:szCs w:val="20"/>
              </w:rPr>
              <w:t>,</w:t>
            </w:r>
            <w:r w:rsidRPr="002C2F74">
              <w:rPr>
                <w:rFonts w:eastAsia="等线" w:cs="Times New Roman"/>
                <w:color w:val="000000"/>
                <w:sz w:val="20"/>
                <w:szCs w:val="20"/>
              </w:rPr>
              <w:t>259</w:t>
            </w:r>
          </w:p>
        </w:tc>
      </w:tr>
      <w:tr w:rsidR="00A52CFA" w:rsidRPr="002C2F74" w14:paraId="6769C563" w14:textId="77777777" w:rsidTr="003054A2">
        <w:tc>
          <w:tcPr>
            <w:tcW w:w="1124" w:type="dxa"/>
            <w:vAlign w:val="center"/>
          </w:tcPr>
          <w:p w14:paraId="3E596199"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ROSMAP</w:t>
            </w:r>
          </w:p>
        </w:tc>
        <w:tc>
          <w:tcPr>
            <w:tcW w:w="2616" w:type="dxa"/>
            <w:vAlign w:val="center"/>
          </w:tcPr>
          <w:p w14:paraId="06020DB7"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Dorsolateral prefrontal cortex</w:t>
            </w:r>
          </w:p>
        </w:tc>
        <w:tc>
          <w:tcPr>
            <w:tcW w:w="1296" w:type="dxa"/>
            <w:vAlign w:val="center"/>
          </w:tcPr>
          <w:p w14:paraId="17D4E4DF"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AD</w:t>
            </w:r>
          </w:p>
        </w:tc>
        <w:tc>
          <w:tcPr>
            <w:tcW w:w="1028" w:type="dxa"/>
            <w:vAlign w:val="center"/>
          </w:tcPr>
          <w:p w14:paraId="5D5D0C1D" w14:textId="77777777" w:rsidR="00A52CFA" w:rsidRPr="002C2F74" w:rsidRDefault="00A52CFA" w:rsidP="003054A2">
            <w:pPr>
              <w:widowControl/>
              <w:jc w:val="left"/>
              <w:rPr>
                <w:rFonts w:cs="Times New Roman"/>
                <w:b/>
                <w:bCs/>
                <w:sz w:val="20"/>
                <w:szCs w:val="20"/>
              </w:rPr>
            </w:pPr>
            <w:r w:rsidRPr="002C2F74">
              <w:rPr>
                <w:rFonts w:eastAsia="等线" w:cs="Times New Roman"/>
                <w:color w:val="000000"/>
                <w:sz w:val="20"/>
                <w:szCs w:val="20"/>
              </w:rPr>
              <w:t>193</w:t>
            </w:r>
          </w:p>
        </w:tc>
        <w:tc>
          <w:tcPr>
            <w:tcW w:w="1728" w:type="dxa"/>
          </w:tcPr>
          <w:p w14:paraId="55A68ADA" w14:textId="61361240" w:rsidR="00A52CFA" w:rsidRPr="002C2F74" w:rsidRDefault="00A52CFA" w:rsidP="003054A2">
            <w:pPr>
              <w:widowControl/>
              <w:jc w:val="left"/>
              <w:rPr>
                <w:rFonts w:eastAsia="等线" w:cs="Times New Roman"/>
                <w:color w:val="000000"/>
                <w:sz w:val="20"/>
                <w:szCs w:val="20"/>
              </w:rPr>
            </w:pPr>
            <w:r w:rsidRPr="002C2F74">
              <w:rPr>
                <w:rFonts w:eastAsia="等线" w:cs="Times New Roman"/>
                <w:color w:val="000000"/>
                <w:sz w:val="20"/>
                <w:szCs w:val="20"/>
              </w:rPr>
              <w:t>206</w:t>
            </w:r>
            <w:r w:rsidR="0060013B">
              <w:rPr>
                <w:rFonts w:eastAsia="等线" w:cs="Times New Roman"/>
                <w:color w:val="000000"/>
                <w:sz w:val="20"/>
                <w:szCs w:val="20"/>
              </w:rPr>
              <w:t>,</w:t>
            </w:r>
            <w:r w:rsidRPr="002C2F74">
              <w:rPr>
                <w:rFonts w:eastAsia="等线" w:cs="Times New Roman"/>
                <w:color w:val="000000"/>
                <w:sz w:val="20"/>
                <w:szCs w:val="20"/>
              </w:rPr>
              <w:t>175</w:t>
            </w:r>
          </w:p>
        </w:tc>
        <w:tc>
          <w:tcPr>
            <w:tcW w:w="1417" w:type="dxa"/>
          </w:tcPr>
          <w:p w14:paraId="7129B09F" w14:textId="1559E6A5" w:rsidR="00A52CFA" w:rsidRPr="002C2F74" w:rsidRDefault="00A52CFA" w:rsidP="003054A2">
            <w:pPr>
              <w:widowControl/>
              <w:jc w:val="left"/>
              <w:rPr>
                <w:rFonts w:eastAsia="等线" w:cs="Times New Roman"/>
                <w:color w:val="000000"/>
                <w:sz w:val="20"/>
                <w:szCs w:val="20"/>
              </w:rPr>
            </w:pPr>
            <w:r w:rsidRPr="002C2F74">
              <w:rPr>
                <w:rFonts w:eastAsia="等线" w:cs="Times New Roman"/>
                <w:color w:val="000000"/>
                <w:sz w:val="20"/>
                <w:szCs w:val="20"/>
              </w:rPr>
              <w:t>49</w:t>
            </w:r>
            <w:r w:rsidR="0060013B">
              <w:rPr>
                <w:rFonts w:eastAsia="等线" w:cs="Times New Roman"/>
                <w:color w:val="000000"/>
                <w:sz w:val="20"/>
                <w:szCs w:val="20"/>
              </w:rPr>
              <w:t>,</w:t>
            </w:r>
            <w:r w:rsidRPr="002C2F74">
              <w:rPr>
                <w:rFonts w:eastAsia="等线" w:cs="Times New Roman"/>
                <w:color w:val="000000"/>
                <w:sz w:val="20"/>
                <w:szCs w:val="20"/>
              </w:rPr>
              <w:t>988</w:t>
            </w:r>
          </w:p>
        </w:tc>
      </w:tr>
    </w:tbl>
    <w:p w14:paraId="44C4A62B" w14:textId="77777777" w:rsidR="00795B95" w:rsidRPr="002C2F74" w:rsidRDefault="00795B95">
      <w:pPr>
        <w:widowControl/>
        <w:jc w:val="left"/>
        <w:rPr>
          <w:b/>
          <w:bCs/>
        </w:rPr>
      </w:pPr>
    </w:p>
    <w:p w14:paraId="196C13F7" w14:textId="4BC9A6A1" w:rsidR="00B747CA" w:rsidRPr="002C2F74" w:rsidRDefault="00B17EBB" w:rsidP="00A31A77">
      <w:pPr>
        <w:widowControl/>
        <w:jc w:val="center"/>
        <w:rPr>
          <w:b/>
          <w:bCs/>
        </w:rPr>
      </w:pPr>
      <w:r w:rsidRPr="002C2F74">
        <w:rPr>
          <w:b/>
          <w:bCs/>
        </w:rPr>
        <w:t xml:space="preserve">Table </w:t>
      </w:r>
      <w:r w:rsidR="00AE74BF" w:rsidRPr="002C2F74">
        <w:rPr>
          <w:rFonts w:hint="eastAsia"/>
          <w:b/>
          <w:bCs/>
        </w:rPr>
        <w:t>2</w:t>
      </w:r>
      <w:r w:rsidRPr="002C2F74">
        <w:rPr>
          <w:b/>
          <w:bCs/>
        </w:rPr>
        <w:t xml:space="preserve">. </w:t>
      </w:r>
      <w:r w:rsidRPr="002C2F74">
        <w:t>Composition statistics of differential gene types across various AD</w:t>
      </w:r>
      <w:r w:rsidRPr="002C2F74">
        <w:rPr>
          <w:rFonts w:hint="eastAsia"/>
        </w:rPr>
        <w:t xml:space="preserve"> </w:t>
      </w:r>
      <w:r w:rsidRPr="002C2F74">
        <w:t>datasets.</w:t>
      </w:r>
    </w:p>
    <w:tbl>
      <w:tblPr>
        <w:tblStyle w:val="afb"/>
        <w:tblW w:w="0" w:type="auto"/>
        <w:jc w:val="center"/>
        <w:tblLook w:val="04A0" w:firstRow="1" w:lastRow="0" w:firstColumn="1" w:lastColumn="0" w:noHBand="0" w:noVBand="1"/>
      </w:tblPr>
      <w:tblGrid>
        <w:gridCol w:w="1099"/>
        <w:gridCol w:w="2553"/>
        <w:gridCol w:w="1446"/>
        <w:gridCol w:w="1768"/>
        <w:gridCol w:w="928"/>
        <w:gridCol w:w="1222"/>
      </w:tblGrid>
      <w:tr w:rsidR="00E04C18" w:rsidRPr="002C2F74" w14:paraId="23AB0B89" w14:textId="732FCB6C" w:rsidTr="00E04C18">
        <w:trPr>
          <w:jc w:val="center"/>
        </w:trPr>
        <w:tc>
          <w:tcPr>
            <w:tcW w:w="1099" w:type="dxa"/>
            <w:vAlign w:val="center"/>
          </w:tcPr>
          <w:p w14:paraId="26D0FC37" w14:textId="03695181" w:rsidR="008B73D8" w:rsidRPr="002C2F74" w:rsidRDefault="008B73D8" w:rsidP="008B73D8">
            <w:pPr>
              <w:widowControl/>
              <w:jc w:val="left"/>
              <w:rPr>
                <w:rFonts w:cs="Times New Roman"/>
                <w:b/>
                <w:bCs/>
                <w:sz w:val="20"/>
                <w:szCs w:val="20"/>
              </w:rPr>
            </w:pPr>
            <w:r w:rsidRPr="002C2F74">
              <w:rPr>
                <w:rFonts w:eastAsia="等线" w:cs="Times New Roman"/>
                <w:b/>
                <w:bCs/>
                <w:color w:val="000000"/>
                <w:sz w:val="20"/>
                <w:szCs w:val="20"/>
              </w:rPr>
              <w:t>Cohort</w:t>
            </w:r>
          </w:p>
        </w:tc>
        <w:tc>
          <w:tcPr>
            <w:tcW w:w="2553" w:type="dxa"/>
            <w:vAlign w:val="center"/>
          </w:tcPr>
          <w:p w14:paraId="3A68846D" w14:textId="7A688452" w:rsidR="008B73D8" w:rsidRPr="002C2F74" w:rsidRDefault="008B73D8" w:rsidP="008B73D8">
            <w:pPr>
              <w:widowControl/>
              <w:jc w:val="left"/>
              <w:rPr>
                <w:rFonts w:cs="Times New Roman"/>
                <w:b/>
                <w:bCs/>
                <w:sz w:val="20"/>
                <w:szCs w:val="20"/>
              </w:rPr>
            </w:pPr>
            <w:r w:rsidRPr="002C2F74">
              <w:rPr>
                <w:rFonts w:eastAsia="等线" w:cs="Times New Roman"/>
                <w:b/>
                <w:bCs/>
                <w:color w:val="000000"/>
                <w:sz w:val="20"/>
                <w:szCs w:val="20"/>
              </w:rPr>
              <w:t>Region</w:t>
            </w:r>
          </w:p>
        </w:tc>
        <w:tc>
          <w:tcPr>
            <w:tcW w:w="1446" w:type="dxa"/>
            <w:vAlign w:val="center"/>
          </w:tcPr>
          <w:p w14:paraId="56AD1726" w14:textId="7CA3CD38" w:rsidR="008B73D8" w:rsidRPr="002C2F74" w:rsidRDefault="00C4051E" w:rsidP="008B73D8">
            <w:pPr>
              <w:widowControl/>
              <w:jc w:val="left"/>
              <w:rPr>
                <w:rFonts w:cs="Times New Roman"/>
                <w:b/>
                <w:bCs/>
                <w:sz w:val="20"/>
                <w:szCs w:val="20"/>
              </w:rPr>
            </w:pPr>
            <w:r w:rsidRPr="002C2F74">
              <w:rPr>
                <w:rFonts w:eastAsia="等线" w:cs="Times New Roman" w:hint="eastAsia"/>
                <w:b/>
                <w:bCs/>
                <w:color w:val="000000"/>
                <w:sz w:val="20"/>
                <w:szCs w:val="20"/>
              </w:rPr>
              <w:t>G</w:t>
            </w:r>
            <w:r w:rsidR="008B73D8" w:rsidRPr="002C2F74">
              <w:rPr>
                <w:rFonts w:eastAsia="等线" w:cs="Times New Roman"/>
                <w:b/>
                <w:bCs/>
                <w:color w:val="000000"/>
                <w:sz w:val="20"/>
                <w:szCs w:val="20"/>
              </w:rPr>
              <w:t>roup</w:t>
            </w:r>
          </w:p>
        </w:tc>
        <w:tc>
          <w:tcPr>
            <w:tcW w:w="1768" w:type="dxa"/>
            <w:vAlign w:val="center"/>
          </w:tcPr>
          <w:p w14:paraId="495DE692" w14:textId="0BC3BF3D" w:rsidR="008B73D8" w:rsidRPr="002C2F74" w:rsidRDefault="00C4051E" w:rsidP="008B73D8">
            <w:pPr>
              <w:widowControl/>
              <w:jc w:val="left"/>
              <w:rPr>
                <w:rFonts w:cs="Times New Roman"/>
                <w:b/>
                <w:bCs/>
                <w:sz w:val="20"/>
                <w:szCs w:val="20"/>
              </w:rPr>
            </w:pPr>
            <w:r w:rsidRPr="002C2F74">
              <w:rPr>
                <w:rFonts w:eastAsia="等线" w:cs="Times New Roman" w:hint="eastAsia"/>
                <w:b/>
                <w:bCs/>
                <w:color w:val="000000"/>
                <w:sz w:val="20"/>
                <w:szCs w:val="20"/>
              </w:rPr>
              <w:t>G</w:t>
            </w:r>
            <w:r w:rsidR="008B73D8" w:rsidRPr="002C2F74">
              <w:rPr>
                <w:rFonts w:eastAsia="等线" w:cs="Times New Roman"/>
                <w:b/>
                <w:bCs/>
                <w:color w:val="000000"/>
                <w:sz w:val="20"/>
                <w:szCs w:val="20"/>
              </w:rPr>
              <w:t>ene</w:t>
            </w:r>
            <w:r w:rsidRPr="002C2F74">
              <w:rPr>
                <w:rFonts w:eastAsia="等线" w:cs="Times New Roman" w:hint="eastAsia"/>
                <w:b/>
                <w:bCs/>
                <w:color w:val="000000"/>
                <w:sz w:val="20"/>
                <w:szCs w:val="20"/>
              </w:rPr>
              <w:t xml:space="preserve"> </w:t>
            </w:r>
            <w:r w:rsidR="008B73D8" w:rsidRPr="002C2F74">
              <w:rPr>
                <w:rFonts w:eastAsia="等线" w:cs="Times New Roman"/>
                <w:b/>
                <w:bCs/>
                <w:color w:val="000000"/>
                <w:sz w:val="20"/>
                <w:szCs w:val="20"/>
              </w:rPr>
              <w:t>types</w:t>
            </w:r>
          </w:p>
        </w:tc>
        <w:tc>
          <w:tcPr>
            <w:tcW w:w="928" w:type="dxa"/>
            <w:vAlign w:val="center"/>
          </w:tcPr>
          <w:p w14:paraId="326339BE" w14:textId="4F469E05" w:rsidR="008B73D8" w:rsidRPr="002C2F74" w:rsidRDefault="008C171C" w:rsidP="008B73D8">
            <w:pPr>
              <w:widowControl/>
              <w:jc w:val="left"/>
              <w:rPr>
                <w:rFonts w:cs="Times New Roman"/>
                <w:b/>
                <w:bCs/>
                <w:sz w:val="20"/>
                <w:szCs w:val="20"/>
              </w:rPr>
            </w:pPr>
            <w:r w:rsidRPr="008C171C">
              <w:rPr>
                <w:rFonts w:eastAsia="等线" w:cs="Times New Roman"/>
                <w:b/>
                <w:bCs/>
                <w:color w:val="000000"/>
                <w:sz w:val="20"/>
                <w:szCs w:val="20"/>
              </w:rPr>
              <w:t>Number</w:t>
            </w:r>
          </w:p>
        </w:tc>
        <w:tc>
          <w:tcPr>
            <w:tcW w:w="1222" w:type="dxa"/>
            <w:vAlign w:val="center"/>
          </w:tcPr>
          <w:p w14:paraId="0B9BD99C" w14:textId="166AA286" w:rsidR="008B73D8" w:rsidRPr="002C2F74" w:rsidRDefault="008C171C" w:rsidP="008B73D8">
            <w:pPr>
              <w:widowControl/>
              <w:jc w:val="left"/>
              <w:rPr>
                <w:rFonts w:eastAsia="等线" w:cs="Times New Roman"/>
                <w:b/>
                <w:bCs/>
                <w:color w:val="000000"/>
                <w:sz w:val="20"/>
                <w:szCs w:val="20"/>
              </w:rPr>
            </w:pPr>
            <w:r w:rsidRPr="008C171C">
              <w:rPr>
                <w:rFonts w:eastAsia="等线" w:cs="Times New Roman"/>
                <w:b/>
                <w:bCs/>
                <w:color w:val="000000"/>
                <w:sz w:val="20"/>
                <w:szCs w:val="20"/>
              </w:rPr>
              <w:t>Percentage</w:t>
            </w:r>
          </w:p>
        </w:tc>
      </w:tr>
      <w:tr w:rsidR="00E04C18" w:rsidRPr="002C2F74" w14:paraId="654CC4E0" w14:textId="74F7F462" w:rsidTr="00E04C18">
        <w:trPr>
          <w:jc w:val="center"/>
        </w:trPr>
        <w:tc>
          <w:tcPr>
            <w:tcW w:w="1099" w:type="dxa"/>
            <w:vAlign w:val="center"/>
          </w:tcPr>
          <w:p w14:paraId="73E6549E" w14:textId="1F673175"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ROSMAP</w:t>
            </w:r>
          </w:p>
        </w:tc>
        <w:tc>
          <w:tcPr>
            <w:tcW w:w="2553" w:type="dxa"/>
            <w:vAlign w:val="center"/>
          </w:tcPr>
          <w:p w14:paraId="66492709" w14:textId="54E11FF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Dorsolateral Prefrontal Cortex</w:t>
            </w:r>
          </w:p>
        </w:tc>
        <w:tc>
          <w:tcPr>
            <w:tcW w:w="1446" w:type="dxa"/>
            <w:vAlign w:val="center"/>
          </w:tcPr>
          <w:p w14:paraId="1F6B6501" w14:textId="5B94CF27"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MCI</w:t>
            </w:r>
          </w:p>
        </w:tc>
        <w:tc>
          <w:tcPr>
            <w:tcW w:w="1768" w:type="dxa"/>
            <w:vAlign w:val="center"/>
          </w:tcPr>
          <w:p w14:paraId="760E9DF1" w14:textId="76DBE56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29CE2ACD" w14:textId="6CFBAEC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154</w:t>
            </w:r>
          </w:p>
        </w:tc>
        <w:tc>
          <w:tcPr>
            <w:tcW w:w="1222" w:type="dxa"/>
            <w:vAlign w:val="center"/>
          </w:tcPr>
          <w:p w14:paraId="67675513" w14:textId="32DC6F95"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0.415</w:t>
            </w:r>
          </w:p>
        </w:tc>
      </w:tr>
      <w:tr w:rsidR="00E04C18" w:rsidRPr="002C2F74" w14:paraId="7FB5041B" w14:textId="0237B550" w:rsidTr="00E04C18">
        <w:trPr>
          <w:jc w:val="center"/>
        </w:trPr>
        <w:tc>
          <w:tcPr>
            <w:tcW w:w="1099" w:type="dxa"/>
            <w:vAlign w:val="center"/>
          </w:tcPr>
          <w:p w14:paraId="4D29AD60" w14:textId="0E6BE6FA"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ROSMAP</w:t>
            </w:r>
          </w:p>
        </w:tc>
        <w:tc>
          <w:tcPr>
            <w:tcW w:w="2553" w:type="dxa"/>
            <w:vAlign w:val="center"/>
          </w:tcPr>
          <w:p w14:paraId="52ED1A35" w14:textId="25DFB703"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Dorsolateral Prefrontal Cortex</w:t>
            </w:r>
          </w:p>
        </w:tc>
        <w:tc>
          <w:tcPr>
            <w:tcW w:w="1446" w:type="dxa"/>
            <w:vAlign w:val="center"/>
          </w:tcPr>
          <w:p w14:paraId="6D135764" w14:textId="03AB91F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MCI</w:t>
            </w:r>
          </w:p>
        </w:tc>
        <w:tc>
          <w:tcPr>
            <w:tcW w:w="1768" w:type="dxa"/>
            <w:vAlign w:val="center"/>
          </w:tcPr>
          <w:p w14:paraId="1A0C8600" w14:textId="71489B7F"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6D7D6C6A" w14:textId="74BCEDC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130</w:t>
            </w:r>
          </w:p>
        </w:tc>
        <w:tc>
          <w:tcPr>
            <w:tcW w:w="1222" w:type="dxa"/>
            <w:vAlign w:val="center"/>
          </w:tcPr>
          <w:p w14:paraId="2E3377C2" w14:textId="4DB1713C"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0.350</w:t>
            </w:r>
          </w:p>
        </w:tc>
      </w:tr>
      <w:tr w:rsidR="00E04C18" w:rsidRPr="002C2F74" w14:paraId="22DF488F" w14:textId="07862214" w:rsidTr="00E04C18">
        <w:trPr>
          <w:jc w:val="center"/>
        </w:trPr>
        <w:tc>
          <w:tcPr>
            <w:tcW w:w="1099" w:type="dxa"/>
            <w:vAlign w:val="center"/>
          </w:tcPr>
          <w:p w14:paraId="5E6B8BB3" w14:textId="0EFB0F77"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ROSMAP</w:t>
            </w:r>
          </w:p>
        </w:tc>
        <w:tc>
          <w:tcPr>
            <w:tcW w:w="2553" w:type="dxa"/>
            <w:vAlign w:val="center"/>
          </w:tcPr>
          <w:p w14:paraId="5EDB30A9" w14:textId="546E50E7"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Dorsolateral Prefrontal Cortex</w:t>
            </w:r>
          </w:p>
        </w:tc>
        <w:tc>
          <w:tcPr>
            <w:tcW w:w="1446" w:type="dxa"/>
            <w:vAlign w:val="center"/>
          </w:tcPr>
          <w:p w14:paraId="19E6AD0C" w14:textId="4B7EA1FA"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MCI</w:t>
            </w:r>
          </w:p>
        </w:tc>
        <w:tc>
          <w:tcPr>
            <w:tcW w:w="1768" w:type="dxa"/>
            <w:vAlign w:val="center"/>
          </w:tcPr>
          <w:p w14:paraId="41895D2E" w14:textId="6BC5C737"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4DC893EA" w14:textId="582ECBB3"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87</w:t>
            </w:r>
          </w:p>
        </w:tc>
        <w:tc>
          <w:tcPr>
            <w:tcW w:w="1222" w:type="dxa"/>
            <w:vAlign w:val="center"/>
          </w:tcPr>
          <w:p w14:paraId="3FD60027" w14:textId="2B51D6ED"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0.235</w:t>
            </w:r>
          </w:p>
        </w:tc>
      </w:tr>
      <w:tr w:rsidR="00E04C18" w:rsidRPr="002C2F74" w14:paraId="4B64FD61" w14:textId="0FD0BC6D" w:rsidTr="00E04C18">
        <w:trPr>
          <w:jc w:val="center"/>
        </w:trPr>
        <w:tc>
          <w:tcPr>
            <w:tcW w:w="1099" w:type="dxa"/>
            <w:vAlign w:val="center"/>
          </w:tcPr>
          <w:p w14:paraId="6AEF538A" w14:textId="1649880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ROSMAP</w:t>
            </w:r>
          </w:p>
        </w:tc>
        <w:tc>
          <w:tcPr>
            <w:tcW w:w="2553" w:type="dxa"/>
            <w:vAlign w:val="center"/>
          </w:tcPr>
          <w:p w14:paraId="7A64BACF" w14:textId="76AFE1C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Dorsolateral Prefrontal Cortex</w:t>
            </w:r>
          </w:p>
        </w:tc>
        <w:tc>
          <w:tcPr>
            <w:tcW w:w="1446" w:type="dxa"/>
            <w:vAlign w:val="center"/>
          </w:tcPr>
          <w:p w14:paraId="055F83C6" w14:textId="522AAB1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AD</w:t>
            </w:r>
          </w:p>
        </w:tc>
        <w:tc>
          <w:tcPr>
            <w:tcW w:w="1768" w:type="dxa"/>
            <w:vAlign w:val="center"/>
          </w:tcPr>
          <w:p w14:paraId="3C4EFE0C" w14:textId="0218101E"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3D74F843" w14:textId="53A803AE"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516</w:t>
            </w:r>
          </w:p>
        </w:tc>
        <w:tc>
          <w:tcPr>
            <w:tcW w:w="1222" w:type="dxa"/>
            <w:vAlign w:val="center"/>
          </w:tcPr>
          <w:p w14:paraId="55D9566C" w14:textId="7DAF0A8D"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0.432</w:t>
            </w:r>
          </w:p>
        </w:tc>
      </w:tr>
      <w:tr w:rsidR="00E04C18" w:rsidRPr="002C2F74" w14:paraId="76135B69" w14:textId="0DD54940" w:rsidTr="00E04C18">
        <w:trPr>
          <w:jc w:val="center"/>
        </w:trPr>
        <w:tc>
          <w:tcPr>
            <w:tcW w:w="1099" w:type="dxa"/>
            <w:vAlign w:val="center"/>
          </w:tcPr>
          <w:p w14:paraId="7C59404F" w14:textId="6FA21E59"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ROSMAP</w:t>
            </w:r>
          </w:p>
        </w:tc>
        <w:tc>
          <w:tcPr>
            <w:tcW w:w="2553" w:type="dxa"/>
            <w:vAlign w:val="center"/>
          </w:tcPr>
          <w:p w14:paraId="0705213F" w14:textId="1671699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Dorsolateral Prefrontal Cortex</w:t>
            </w:r>
          </w:p>
        </w:tc>
        <w:tc>
          <w:tcPr>
            <w:tcW w:w="1446" w:type="dxa"/>
            <w:vAlign w:val="center"/>
          </w:tcPr>
          <w:p w14:paraId="6AD91BD1" w14:textId="124583C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AD</w:t>
            </w:r>
          </w:p>
        </w:tc>
        <w:tc>
          <w:tcPr>
            <w:tcW w:w="1768" w:type="dxa"/>
            <w:vAlign w:val="center"/>
          </w:tcPr>
          <w:p w14:paraId="260D0807" w14:textId="5375B156"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5CF9CBFC" w14:textId="38288CB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541</w:t>
            </w:r>
          </w:p>
        </w:tc>
        <w:tc>
          <w:tcPr>
            <w:tcW w:w="1222" w:type="dxa"/>
            <w:vAlign w:val="center"/>
          </w:tcPr>
          <w:p w14:paraId="4A67D1D3" w14:textId="3F34B5DD"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0.453</w:t>
            </w:r>
          </w:p>
        </w:tc>
      </w:tr>
      <w:tr w:rsidR="00E04C18" w:rsidRPr="002C2F74" w14:paraId="18C9936D" w14:textId="0BE960A0" w:rsidTr="00E04C18">
        <w:trPr>
          <w:jc w:val="center"/>
        </w:trPr>
        <w:tc>
          <w:tcPr>
            <w:tcW w:w="1099" w:type="dxa"/>
            <w:vAlign w:val="center"/>
          </w:tcPr>
          <w:p w14:paraId="5FA6B551" w14:textId="06AB4D6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ROSMAP</w:t>
            </w:r>
          </w:p>
        </w:tc>
        <w:tc>
          <w:tcPr>
            <w:tcW w:w="2553" w:type="dxa"/>
            <w:vAlign w:val="center"/>
          </w:tcPr>
          <w:p w14:paraId="1986CD1A" w14:textId="4017D7C4"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Dorsolateral Prefrontal Cortex</w:t>
            </w:r>
          </w:p>
        </w:tc>
        <w:tc>
          <w:tcPr>
            <w:tcW w:w="1446" w:type="dxa"/>
            <w:vAlign w:val="center"/>
          </w:tcPr>
          <w:p w14:paraId="63772EC4" w14:textId="4FDEE063"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AD</w:t>
            </w:r>
          </w:p>
        </w:tc>
        <w:tc>
          <w:tcPr>
            <w:tcW w:w="1768" w:type="dxa"/>
            <w:vAlign w:val="center"/>
          </w:tcPr>
          <w:p w14:paraId="6E4A0A9D" w14:textId="6510A5AA"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29861B14" w14:textId="735E0ED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138</w:t>
            </w:r>
          </w:p>
        </w:tc>
        <w:tc>
          <w:tcPr>
            <w:tcW w:w="1222" w:type="dxa"/>
            <w:vAlign w:val="center"/>
          </w:tcPr>
          <w:p w14:paraId="132C8CDB" w14:textId="6431B5D3"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0.115</w:t>
            </w:r>
          </w:p>
        </w:tc>
      </w:tr>
      <w:tr w:rsidR="00E04C18" w:rsidRPr="002C2F74" w14:paraId="17C23868" w14:textId="2F245FE9" w:rsidTr="00E04C18">
        <w:trPr>
          <w:jc w:val="center"/>
        </w:trPr>
        <w:tc>
          <w:tcPr>
            <w:tcW w:w="1099" w:type="dxa"/>
            <w:vAlign w:val="center"/>
          </w:tcPr>
          <w:p w14:paraId="0829892E" w14:textId="7A6B3A1E"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3C804F40" w14:textId="7EA19B23"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Superior Temporal Gyrus</w:t>
            </w:r>
          </w:p>
        </w:tc>
        <w:tc>
          <w:tcPr>
            <w:tcW w:w="1446" w:type="dxa"/>
            <w:vAlign w:val="center"/>
          </w:tcPr>
          <w:p w14:paraId="216D242B" w14:textId="18C992D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w:t>
            </w:r>
          </w:p>
        </w:tc>
        <w:tc>
          <w:tcPr>
            <w:tcW w:w="1768" w:type="dxa"/>
            <w:vAlign w:val="center"/>
          </w:tcPr>
          <w:p w14:paraId="731137E5" w14:textId="0E9F717F"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769A47D2" w14:textId="015AA60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261</w:t>
            </w:r>
          </w:p>
        </w:tc>
        <w:tc>
          <w:tcPr>
            <w:tcW w:w="1222" w:type="dxa"/>
            <w:vAlign w:val="center"/>
          </w:tcPr>
          <w:p w14:paraId="218049E2" w14:textId="621957FC"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0.110</w:t>
            </w:r>
          </w:p>
        </w:tc>
      </w:tr>
      <w:tr w:rsidR="00E04C18" w:rsidRPr="002C2F74" w14:paraId="5BC5957D" w14:textId="519F2D94" w:rsidTr="00E04C18">
        <w:trPr>
          <w:jc w:val="center"/>
        </w:trPr>
        <w:tc>
          <w:tcPr>
            <w:tcW w:w="1099" w:type="dxa"/>
            <w:vAlign w:val="center"/>
          </w:tcPr>
          <w:p w14:paraId="10FA9DAA" w14:textId="0DA0B077"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797F38DA" w14:textId="689E8F1C"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Superior Temporal Gyrus</w:t>
            </w:r>
          </w:p>
        </w:tc>
        <w:tc>
          <w:tcPr>
            <w:tcW w:w="1446" w:type="dxa"/>
            <w:vAlign w:val="center"/>
          </w:tcPr>
          <w:p w14:paraId="20B508F2" w14:textId="25E50E43"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w:t>
            </w:r>
          </w:p>
        </w:tc>
        <w:tc>
          <w:tcPr>
            <w:tcW w:w="1768" w:type="dxa"/>
            <w:vAlign w:val="center"/>
          </w:tcPr>
          <w:p w14:paraId="5C24E83B" w14:textId="2CFB75D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0EEE01BE" w14:textId="221D99E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1067</w:t>
            </w:r>
          </w:p>
        </w:tc>
        <w:tc>
          <w:tcPr>
            <w:tcW w:w="1222" w:type="dxa"/>
            <w:vAlign w:val="center"/>
          </w:tcPr>
          <w:p w14:paraId="62A475BC" w14:textId="015153D0"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0.448</w:t>
            </w:r>
          </w:p>
        </w:tc>
      </w:tr>
      <w:tr w:rsidR="00E04C18" w:rsidRPr="002C2F74" w14:paraId="7E4D8E75" w14:textId="5A458782" w:rsidTr="00E04C18">
        <w:trPr>
          <w:jc w:val="center"/>
        </w:trPr>
        <w:tc>
          <w:tcPr>
            <w:tcW w:w="1099" w:type="dxa"/>
            <w:vAlign w:val="center"/>
          </w:tcPr>
          <w:p w14:paraId="4604B07B" w14:textId="64A684D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3CF330E1" w14:textId="634410D6"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Superior Temporal Gyrus</w:t>
            </w:r>
          </w:p>
        </w:tc>
        <w:tc>
          <w:tcPr>
            <w:tcW w:w="1446" w:type="dxa"/>
            <w:vAlign w:val="center"/>
          </w:tcPr>
          <w:p w14:paraId="58A70B8B" w14:textId="4546D9E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w:t>
            </w:r>
          </w:p>
        </w:tc>
        <w:tc>
          <w:tcPr>
            <w:tcW w:w="1768" w:type="dxa"/>
            <w:vAlign w:val="center"/>
          </w:tcPr>
          <w:p w14:paraId="1B72AB3D" w14:textId="3CF63048"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1920118A" w14:textId="456B5B95"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1055</w:t>
            </w:r>
          </w:p>
        </w:tc>
        <w:tc>
          <w:tcPr>
            <w:tcW w:w="1222" w:type="dxa"/>
            <w:vAlign w:val="center"/>
          </w:tcPr>
          <w:p w14:paraId="386C7ABE" w14:textId="2809104E"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0.443</w:t>
            </w:r>
          </w:p>
        </w:tc>
      </w:tr>
      <w:tr w:rsidR="00E04C18" w:rsidRPr="002C2F74" w14:paraId="2AF6A02E" w14:textId="34AD8FCF" w:rsidTr="00E04C18">
        <w:trPr>
          <w:jc w:val="center"/>
        </w:trPr>
        <w:tc>
          <w:tcPr>
            <w:tcW w:w="1099" w:type="dxa"/>
            <w:vAlign w:val="center"/>
          </w:tcPr>
          <w:p w14:paraId="005F089B" w14:textId="42A52FA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58D9DD93" w14:textId="56211EC9" w:rsidR="008B73D8" w:rsidRPr="002C2F74" w:rsidRDefault="008B73D8" w:rsidP="008B73D8">
            <w:pPr>
              <w:widowControl/>
              <w:jc w:val="left"/>
              <w:rPr>
                <w:rFonts w:cs="Times New Roman"/>
                <w:b/>
                <w:bCs/>
                <w:sz w:val="20"/>
                <w:szCs w:val="20"/>
              </w:rPr>
            </w:pPr>
            <w:proofErr w:type="spellStart"/>
            <w:r w:rsidRPr="002C2F74">
              <w:rPr>
                <w:rFonts w:eastAsia="等线" w:cs="Times New Roman"/>
                <w:color w:val="000000"/>
                <w:sz w:val="20"/>
                <w:szCs w:val="20"/>
              </w:rPr>
              <w:t>Parahippocampal</w:t>
            </w:r>
            <w:proofErr w:type="spellEnd"/>
            <w:r w:rsidRPr="002C2F74">
              <w:rPr>
                <w:rFonts w:eastAsia="等线" w:cs="Times New Roman"/>
                <w:color w:val="000000"/>
                <w:sz w:val="20"/>
                <w:szCs w:val="20"/>
              </w:rPr>
              <w:t xml:space="preserve"> Gyrus</w:t>
            </w:r>
          </w:p>
        </w:tc>
        <w:tc>
          <w:tcPr>
            <w:tcW w:w="1446" w:type="dxa"/>
            <w:vAlign w:val="center"/>
          </w:tcPr>
          <w:p w14:paraId="3916443E" w14:textId="4FA6E30E"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w:t>
            </w:r>
          </w:p>
        </w:tc>
        <w:tc>
          <w:tcPr>
            <w:tcW w:w="1768" w:type="dxa"/>
            <w:vAlign w:val="center"/>
          </w:tcPr>
          <w:p w14:paraId="2644DFB5" w14:textId="5CD97B8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3B46ECC9" w14:textId="43ED1D7C"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491</w:t>
            </w:r>
          </w:p>
        </w:tc>
        <w:tc>
          <w:tcPr>
            <w:tcW w:w="1222" w:type="dxa"/>
            <w:vAlign w:val="center"/>
          </w:tcPr>
          <w:p w14:paraId="0172C84D" w14:textId="7EC34D96"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0.123</w:t>
            </w:r>
          </w:p>
        </w:tc>
      </w:tr>
      <w:tr w:rsidR="00E04C18" w:rsidRPr="002C2F74" w14:paraId="64CA473F" w14:textId="2B7AEC1E" w:rsidTr="00E04C18">
        <w:trPr>
          <w:jc w:val="center"/>
        </w:trPr>
        <w:tc>
          <w:tcPr>
            <w:tcW w:w="1099" w:type="dxa"/>
            <w:vAlign w:val="center"/>
          </w:tcPr>
          <w:p w14:paraId="526BD149" w14:textId="7A91014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0D48CFCA" w14:textId="27E9E0F9" w:rsidR="008B73D8" w:rsidRPr="002C2F74" w:rsidRDefault="008B73D8" w:rsidP="008B73D8">
            <w:pPr>
              <w:widowControl/>
              <w:jc w:val="left"/>
              <w:rPr>
                <w:rFonts w:cs="Times New Roman"/>
                <w:b/>
                <w:bCs/>
                <w:sz w:val="20"/>
                <w:szCs w:val="20"/>
              </w:rPr>
            </w:pPr>
            <w:proofErr w:type="spellStart"/>
            <w:r w:rsidRPr="002C2F74">
              <w:rPr>
                <w:rFonts w:eastAsia="等线" w:cs="Times New Roman"/>
                <w:color w:val="000000"/>
                <w:sz w:val="20"/>
                <w:szCs w:val="20"/>
              </w:rPr>
              <w:t>Parahippocampal</w:t>
            </w:r>
            <w:proofErr w:type="spellEnd"/>
            <w:r w:rsidRPr="002C2F74">
              <w:rPr>
                <w:rFonts w:eastAsia="等线" w:cs="Times New Roman"/>
                <w:color w:val="000000"/>
                <w:sz w:val="20"/>
                <w:szCs w:val="20"/>
              </w:rPr>
              <w:t xml:space="preserve"> Gyrus</w:t>
            </w:r>
          </w:p>
        </w:tc>
        <w:tc>
          <w:tcPr>
            <w:tcW w:w="1446" w:type="dxa"/>
            <w:vAlign w:val="center"/>
          </w:tcPr>
          <w:p w14:paraId="3D582BEF" w14:textId="52687983"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w:t>
            </w:r>
          </w:p>
        </w:tc>
        <w:tc>
          <w:tcPr>
            <w:tcW w:w="1768" w:type="dxa"/>
            <w:vAlign w:val="center"/>
          </w:tcPr>
          <w:p w14:paraId="7A9A4876" w14:textId="33558B6C"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0BDAD281" w14:textId="651A9709"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1671</w:t>
            </w:r>
          </w:p>
        </w:tc>
        <w:tc>
          <w:tcPr>
            <w:tcW w:w="1222" w:type="dxa"/>
            <w:vAlign w:val="center"/>
          </w:tcPr>
          <w:p w14:paraId="25C112F1" w14:textId="25846340"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0.417</w:t>
            </w:r>
          </w:p>
        </w:tc>
      </w:tr>
      <w:tr w:rsidR="00E04C18" w:rsidRPr="002C2F74" w14:paraId="59AFABE1" w14:textId="7B0076EF" w:rsidTr="00E04C18">
        <w:trPr>
          <w:jc w:val="center"/>
        </w:trPr>
        <w:tc>
          <w:tcPr>
            <w:tcW w:w="1099" w:type="dxa"/>
            <w:vAlign w:val="center"/>
          </w:tcPr>
          <w:p w14:paraId="3F1C386B" w14:textId="482121AA"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38AD365D" w14:textId="3A155817" w:rsidR="008B73D8" w:rsidRPr="002C2F74" w:rsidRDefault="008B73D8" w:rsidP="008B73D8">
            <w:pPr>
              <w:widowControl/>
              <w:jc w:val="left"/>
              <w:rPr>
                <w:rFonts w:cs="Times New Roman"/>
                <w:b/>
                <w:bCs/>
                <w:sz w:val="20"/>
                <w:szCs w:val="20"/>
              </w:rPr>
            </w:pPr>
            <w:proofErr w:type="spellStart"/>
            <w:r w:rsidRPr="002C2F74">
              <w:rPr>
                <w:rFonts w:eastAsia="等线" w:cs="Times New Roman"/>
                <w:color w:val="000000"/>
                <w:sz w:val="20"/>
                <w:szCs w:val="20"/>
              </w:rPr>
              <w:t>Parahippocampal</w:t>
            </w:r>
            <w:proofErr w:type="spellEnd"/>
            <w:r w:rsidRPr="002C2F74">
              <w:rPr>
                <w:rFonts w:eastAsia="等线" w:cs="Times New Roman"/>
                <w:color w:val="000000"/>
                <w:sz w:val="20"/>
                <w:szCs w:val="20"/>
              </w:rPr>
              <w:t xml:space="preserve"> Gyrus</w:t>
            </w:r>
          </w:p>
        </w:tc>
        <w:tc>
          <w:tcPr>
            <w:tcW w:w="1446" w:type="dxa"/>
            <w:vAlign w:val="center"/>
          </w:tcPr>
          <w:p w14:paraId="680B714A" w14:textId="5FE14252"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w:t>
            </w:r>
          </w:p>
        </w:tc>
        <w:tc>
          <w:tcPr>
            <w:tcW w:w="1768" w:type="dxa"/>
            <w:vAlign w:val="center"/>
          </w:tcPr>
          <w:p w14:paraId="1A06061E" w14:textId="30BA74D7"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74256564" w14:textId="0379AADE"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1844</w:t>
            </w:r>
          </w:p>
        </w:tc>
        <w:tc>
          <w:tcPr>
            <w:tcW w:w="1222" w:type="dxa"/>
            <w:vAlign w:val="center"/>
          </w:tcPr>
          <w:p w14:paraId="5BDFAD0A" w14:textId="62E051C2"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0.460</w:t>
            </w:r>
          </w:p>
        </w:tc>
      </w:tr>
      <w:tr w:rsidR="00E04C18" w:rsidRPr="002C2F74" w14:paraId="673F3A08" w14:textId="2EFE44C1" w:rsidTr="00E04C18">
        <w:trPr>
          <w:jc w:val="center"/>
        </w:trPr>
        <w:tc>
          <w:tcPr>
            <w:tcW w:w="1099" w:type="dxa"/>
            <w:vAlign w:val="center"/>
          </w:tcPr>
          <w:p w14:paraId="4361CF00" w14:textId="6D9CCB8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1A4EFAEF" w14:textId="3338114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Inferior Frontal Gyrus</w:t>
            </w:r>
          </w:p>
        </w:tc>
        <w:tc>
          <w:tcPr>
            <w:tcW w:w="1446" w:type="dxa"/>
            <w:vAlign w:val="center"/>
          </w:tcPr>
          <w:p w14:paraId="62FD64AF" w14:textId="08FC46C9"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w:t>
            </w:r>
          </w:p>
        </w:tc>
        <w:tc>
          <w:tcPr>
            <w:tcW w:w="1768" w:type="dxa"/>
            <w:vAlign w:val="center"/>
          </w:tcPr>
          <w:p w14:paraId="2E0C80D1" w14:textId="1A08F00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30B69357" w14:textId="5E7B2436"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506</w:t>
            </w:r>
          </w:p>
        </w:tc>
        <w:tc>
          <w:tcPr>
            <w:tcW w:w="1222" w:type="dxa"/>
            <w:vAlign w:val="center"/>
          </w:tcPr>
          <w:p w14:paraId="6BA07E12" w14:textId="52AD7291"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0.116</w:t>
            </w:r>
          </w:p>
        </w:tc>
      </w:tr>
      <w:tr w:rsidR="00E04C18" w:rsidRPr="002C2F74" w14:paraId="6E902C08" w14:textId="07117034" w:rsidTr="00E04C18">
        <w:trPr>
          <w:jc w:val="center"/>
        </w:trPr>
        <w:tc>
          <w:tcPr>
            <w:tcW w:w="1099" w:type="dxa"/>
            <w:vAlign w:val="center"/>
          </w:tcPr>
          <w:p w14:paraId="7FA24568" w14:textId="35290755"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0F4D9454" w14:textId="020B07F2"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Inferior Frontal Gyrus</w:t>
            </w:r>
          </w:p>
        </w:tc>
        <w:tc>
          <w:tcPr>
            <w:tcW w:w="1446" w:type="dxa"/>
            <w:vAlign w:val="center"/>
          </w:tcPr>
          <w:p w14:paraId="2E402392" w14:textId="7C3C8E0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w:t>
            </w:r>
          </w:p>
        </w:tc>
        <w:tc>
          <w:tcPr>
            <w:tcW w:w="1768" w:type="dxa"/>
            <w:vAlign w:val="center"/>
          </w:tcPr>
          <w:p w14:paraId="6DA175B2" w14:textId="398C4E2E"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662D2FD0" w14:textId="0ED8F573"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1741</w:t>
            </w:r>
          </w:p>
        </w:tc>
        <w:tc>
          <w:tcPr>
            <w:tcW w:w="1222" w:type="dxa"/>
            <w:vAlign w:val="center"/>
          </w:tcPr>
          <w:p w14:paraId="430A3183" w14:textId="6310FE83"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0.399</w:t>
            </w:r>
          </w:p>
        </w:tc>
      </w:tr>
      <w:tr w:rsidR="00E04C18" w:rsidRPr="002C2F74" w14:paraId="4478C2C6" w14:textId="791A5863" w:rsidTr="00E04C18">
        <w:trPr>
          <w:jc w:val="center"/>
        </w:trPr>
        <w:tc>
          <w:tcPr>
            <w:tcW w:w="1099" w:type="dxa"/>
            <w:vAlign w:val="center"/>
          </w:tcPr>
          <w:p w14:paraId="2BF61735" w14:textId="344CEF4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1AE5201A" w14:textId="068460F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Inferior Frontal Gyrus</w:t>
            </w:r>
          </w:p>
        </w:tc>
        <w:tc>
          <w:tcPr>
            <w:tcW w:w="1446" w:type="dxa"/>
            <w:vAlign w:val="center"/>
          </w:tcPr>
          <w:p w14:paraId="630D42BC" w14:textId="1F88CC55"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w:t>
            </w:r>
          </w:p>
        </w:tc>
        <w:tc>
          <w:tcPr>
            <w:tcW w:w="1768" w:type="dxa"/>
            <w:vAlign w:val="center"/>
          </w:tcPr>
          <w:p w14:paraId="0EC61678" w14:textId="6746C685"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6058A9D9" w14:textId="3243AAF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2119</w:t>
            </w:r>
          </w:p>
        </w:tc>
        <w:tc>
          <w:tcPr>
            <w:tcW w:w="1222" w:type="dxa"/>
            <w:vAlign w:val="center"/>
          </w:tcPr>
          <w:p w14:paraId="02BDBA17" w14:textId="1E00DFA1"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0.485</w:t>
            </w:r>
          </w:p>
        </w:tc>
      </w:tr>
      <w:tr w:rsidR="00E04C18" w:rsidRPr="002C2F74" w14:paraId="6DFCE230" w14:textId="4398BC07" w:rsidTr="00E04C18">
        <w:trPr>
          <w:jc w:val="center"/>
        </w:trPr>
        <w:tc>
          <w:tcPr>
            <w:tcW w:w="1099" w:type="dxa"/>
            <w:vAlign w:val="center"/>
          </w:tcPr>
          <w:p w14:paraId="67D4F0B5" w14:textId="6902B765"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6F23343B" w14:textId="28428C96"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Superior Temporal Gyrus</w:t>
            </w:r>
          </w:p>
        </w:tc>
        <w:tc>
          <w:tcPr>
            <w:tcW w:w="1446" w:type="dxa"/>
            <w:vAlign w:val="center"/>
          </w:tcPr>
          <w:p w14:paraId="3497AB87" w14:textId="1C1829B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III-IV</w:t>
            </w:r>
          </w:p>
        </w:tc>
        <w:tc>
          <w:tcPr>
            <w:tcW w:w="1768" w:type="dxa"/>
            <w:vAlign w:val="center"/>
          </w:tcPr>
          <w:p w14:paraId="399C29B1" w14:textId="204F9A5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36F8485D" w14:textId="10B7DA3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1206</w:t>
            </w:r>
          </w:p>
        </w:tc>
        <w:tc>
          <w:tcPr>
            <w:tcW w:w="1222" w:type="dxa"/>
            <w:vAlign w:val="center"/>
          </w:tcPr>
          <w:p w14:paraId="557230CF" w14:textId="228FD684"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0.146</w:t>
            </w:r>
          </w:p>
        </w:tc>
      </w:tr>
      <w:tr w:rsidR="00E04C18" w:rsidRPr="002C2F74" w14:paraId="6B46010D" w14:textId="18C764FF" w:rsidTr="00E04C18">
        <w:trPr>
          <w:jc w:val="center"/>
        </w:trPr>
        <w:tc>
          <w:tcPr>
            <w:tcW w:w="1099" w:type="dxa"/>
            <w:vAlign w:val="center"/>
          </w:tcPr>
          <w:p w14:paraId="197E3371" w14:textId="783C036A"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19882E06" w14:textId="315BEE9F"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Superior Temporal Gyrus</w:t>
            </w:r>
          </w:p>
        </w:tc>
        <w:tc>
          <w:tcPr>
            <w:tcW w:w="1446" w:type="dxa"/>
            <w:vAlign w:val="center"/>
          </w:tcPr>
          <w:p w14:paraId="185A69F5" w14:textId="2EDE200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III-IV</w:t>
            </w:r>
          </w:p>
        </w:tc>
        <w:tc>
          <w:tcPr>
            <w:tcW w:w="1768" w:type="dxa"/>
            <w:vAlign w:val="center"/>
          </w:tcPr>
          <w:p w14:paraId="5F9FA44F" w14:textId="56CD8C8A"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0A6F4F68" w14:textId="0739580A"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3395</w:t>
            </w:r>
          </w:p>
        </w:tc>
        <w:tc>
          <w:tcPr>
            <w:tcW w:w="1222" w:type="dxa"/>
            <w:vAlign w:val="center"/>
          </w:tcPr>
          <w:p w14:paraId="347A3E6A" w14:textId="0325542F"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0.411</w:t>
            </w:r>
          </w:p>
        </w:tc>
      </w:tr>
      <w:tr w:rsidR="00E04C18" w:rsidRPr="002C2F74" w14:paraId="7EAC1341" w14:textId="50B92FB0" w:rsidTr="00E04C18">
        <w:trPr>
          <w:jc w:val="center"/>
        </w:trPr>
        <w:tc>
          <w:tcPr>
            <w:tcW w:w="1099" w:type="dxa"/>
            <w:vAlign w:val="center"/>
          </w:tcPr>
          <w:p w14:paraId="77A3395E" w14:textId="3DF333E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4BDCCFD9" w14:textId="3619F3B7"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Superior Temporal Gyrus</w:t>
            </w:r>
          </w:p>
        </w:tc>
        <w:tc>
          <w:tcPr>
            <w:tcW w:w="1446" w:type="dxa"/>
            <w:vAlign w:val="center"/>
          </w:tcPr>
          <w:p w14:paraId="711E85AE" w14:textId="1CA7771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III-IV</w:t>
            </w:r>
          </w:p>
        </w:tc>
        <w:tc>
          <w:tcPr>
            <w:tcW w:w="1768" w:type="dxa"/>
            <w:vAlign w:val="center"/>
          </w:tcPr>
          <w:p w14:paraId="3AFB59D9" w14:textId="41910492"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57B2BA90" w14:textId="233532B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3666</w:t>
            </w:r>
          </w:p>
        </w:tc>
        <w:tc>
          <w:tcPr>
            <w:tcW w:w="1222" w:type="dxa"/>
            <w:vAlign w:val="center"/>
          </w:tcPr>
          <w:p w14:paraId="6B676234" w14:textId="4A1B3477"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0.443</w:t>
            </w:r>
          </w:p>
        </w:tc>
      </w:tr>
      <w:tr w:rsidR="00E04C18" w:rsidRPr="002C2F74" w14:paraId="1350DAAF" w14:textId="782F5AF9" w:rsidTr="00E04C18">
        <w:trPr>
          <w:jc w:val="center"/>
        </w:trPr>
        <w:tc>
          <w:tcPr>
            <w:tcW w:w="1099" w:type="dxa"/>
            <w:vAlign w:val="center"/>
          </w:tcPr>
          <w:p w14:paraId="2A6BA8DD" w14:textId="4AE801F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7F39F0AF" w14:textId="41A0D00D" w:rsidR="008B73D8" w:rsidRPr="002C2F74" w:rsidRDefault="008B73D8" w:rsidP="008B73D8">
            <w:pPr>
              <w:widowControl/>
              <w:jc w:val="left"/>
              <w:rPr>
                <w:rFonts w:cs="Times New Roman"/>
                <w:b/>
                <w:bCs/>
                <w:sz w:val="20"/>
                <w:szCs w:val="20"/>
              </w:rPr>
            </w:pPr>
            <w:proofErr w:type="spellStart"/>
            <w:r w:rsidRPr="002C2F74">
              <w:rPr>
                <w:rFonts w:eastAsia="等线" w:cs="Times New Roman"/>
                <w:color w:val="000000"/>
                <w:sz w:val="20"/>
                <w:szCs w:val="20"/>
              </w:rPr>
              <w:t>Parahippocampal</w:t>
            </w:r>
            <w:proofErr w:type="spellEnd"/>
            <w:r w:rsidRPr="002C2F74">
              <w:rPr>
                <w:rFonts w:eastAsia="等线" w:cs="Times New Roman"/>
                <w:color w:val="000000"/>
                <w:sz w:val="20"/>
                <w:szCs w:val="20"/>
              </w:rPr>
              <w:t xml:space="preserve"> Gyrus</w:t>
            </w:r>
          </w:p>
        </w:tc>
        <w:tc>
          <w:tcPr>
            <w:tcW w:w="1446" w:type="dxa"/>
            <w:vAlign w:val="center"/>
          </w:tcPr>
          <w:p w14:paraId="6CD377F0" w14:textId="515A62B4"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III-IV</w:t>
            </w:r>
          </w:p>
        </w:tc>
        <w:tc>
          <w:tcPr>
            <w:tcW w:w="1768" w:type="dxa"/>
            <w:vAlign w:val="center"/>
          </w:tcPr>
          <w:p w14:paraId="07AD1087" w14:textId="512584C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155FB288" w14:textId="1E1B74F9"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1356</w:t>
            </w:r>
          </w:p>
        </w:tc>
        <w:tc>
          <w:tcPr>
            <w:tcW w:w="1222" w:type="dxa"/>
            <w:vAlign w:val="center"/>
          </w:tcPr>
          <w:p w14:paraId="4BC20CD9" w14:textId="10B88537"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0.117</w:t>
            </w:r>
          </w:p>
        </w:tc>
      </w:tr>
      <w:tr w:rsidR="00E04C18" w:rsidRPr="002C2F74" w14:paraId="4C4F856F" w14:textId="6E73CD8D" w:rsidTr="00E04C18">
        <w:trPr>
          <w:jc w:val="center"/>
        </w:trPr>
        <w:tc>
          <w:tcPr>
            <w:tcW w:w="1099" w:type="dxa"/>
            <w:vAlign w:val="center"/>
          </w:tcPr>
          <w:p w14:paraId="1FE225CC" w14:textId="1E633B0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41D0BBC1" w14:textId="5FDCCC84" w:rsidR="008B73D8" w:rsidRPr="002C2F74" w:rsidRDefault="008B73D8" w:rsidP="008B73D8">
            <w:pPr>
              <w:widowControl/>
              <w:jc w:val="left"/>
              <w:rPr>
                <w:rFonts w:cs="Times New Roman"/>
                <w:b/>
                <w:bCs/>
                <w:sz w:val="20"/>
                <w:szCs w:val="20"/>
              </w:rPr>
            </w:pPr>
            <w:proofErr w:type="spellStart"/>
            <w:r w:rsidRPr="002C2F74">
              <w:rPr>
                <w:rFonts w:eastAsia="等线" w:cs="Times New Roman"/>
                <w:color w:val="000000"/>
                <w:sz w:val="20"/>
                <w:szCs w:val="20"/>
              </w:rPr>
              <w:t>Parahippocampal</w:t>
            </w:r>
            <w:proofErr w:type="spellEnd"/>
            <w:r w:rsidRPr="002C2F74">
              <w:rPr>
                <w:rFonts w:eastAsia="等线" w:cs="Times New Roman"/>
                <w:color w:val="000000"/>
                <w:sz w:val="20"/>
                <w:szCs w:val="20"/>
              </w:rPr>
              <w:t xml:space="preserve"> Gyrus</w:t>
            </w:r>
          </w:p>
        </w:tc>
        <w:tc>
          <w:tcPr>
            <w:tcW w:w="1446" w:type="dxa"/>
            <w:vAlign w:val="center"/>
          </w:tcPr>
          <w:p w14:paraId="7FBFC13D" w14:textId="349ED4A5"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III-IV</w:t>
            </w:r>
          </w:p>
        </w:tc>
        <w:tc>
          <w:tcPr>
            <w:tcW w:w="1768" w:type="dxa"/>
            <w:vAlign w:val="center"/>
          </w:tcPr>
          <w:p w14:paraId="7A65311A" w14:textId="4B4F9DAC"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17199AAC" w14:textId="4BEF98EA"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5927</w:t>
            </w:r>
          </w:p>
        </w:tc>
        <w:tc>
          <w:tcPr>
            <w:tcW w:w="1222" w:type="dxa"/>
            <w:vAlign w:val="center"/>
          </w:tcPr>
          <w:p w14:paraId="6BA18990" w14:textId="11DB3A24"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0.513</w:t>
            </w:r>
          </w:p>
        </w:tc>
      </w:tr>
      <w:tr w:rsidR="00E04C18" w:rsidRPr="002C2F74" w14:paraId="3DA9A7C9" w14:textId="2F275685" w:rsidTr="00E04C18">
        <w:trPr>
          <w:jc w:val="center"/>
        </w:trPr>
        <w:tc>
          <w:tcPr>
            <w:tcW w:w="1099" w:type="dxa"/>
            <w:vAlign w:val="center"/>
          </w:tcPr>
          <w:p w14:paraId="21BEE212" w14:textId="41CA1669"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32F391D9" w14:textId="00CA85FA" w:rsidR="008B73D8" w:rsidRPr="002C2F74" w:rsidRDefault="008B73D8" w:rsidP="008B73D8">
            <w:pPr>
              <w:widowControl/>
              <w:jc w:val="left"/>
              <w:rPr>
                <w:rFonts w:cs="Times New Roman"/>
                <w:b/>
                <w:bCs/>
                <w:sz w:val="20"/>
                <w:szCs w:val="20"/>
              </w:rPr>
            </w:pPr>
            <w:proofErr w:type="spellStart"/>
            <w:r w:rsidRPr="002C2F74">
              <w:rPr>
                <w:rFonts w:eastAsia="等线" w:cs="Times New Roman"/>
                <w:color w:val="000000"/>
                <w:sz w:val="20"/>
                <w:szCs w:val="20"/>
              </w:rPr>
              <w:t>Parahippocampal</w:t>
            </w:r>
            <w:proofErr w:type="spellEnd"/>
            <w:r w:rsidRPr="002C2F74">
              <w:rPr>
                <w:rFonts w:eastAsia="等线" w:cs="Times New Roman"/>
                <w:color w:val="000000"/>
                <w:sz w:val="20"/>
                <w:szCs w:val="20"/>
              </w:rPr>
              <w:t xml:space="preserve"> Gyrus</w:t>
            </w:r>
          </w:p>
        </w:tc>
        <w:tc>
          <w:tcPr>
            <w:tcW w:w="1446" w:type="dxa"/>
            <w:vAlign w:val="center"/>
          </w:tcPr>
          <w:p w14:paraId="452F0C58" w14:textId="74827466"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III-IV</w:t>
            </w:r>
          </w:p>
        </w:tc>
        <w:tc>
          <w:tcPr>
            <w:tcW w:w="1768" w:type="dxa"/>
            <w:vAlign w:val="center"/>
          </w:tcPr>
          <w:p w14:paraId="38F975FE" w14:textId="41ED3B55"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55306BF0" w14:textId="7DB47524"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4273</w:t>
            </w:r>
          </w:p>
        </w:tc>
        <w:tc>
          <w:tcPr>
            <w:tcW w:w="1222" w:type="dxa"/>
            <w:vAlign w:val="center"/>
          </w:tcPr>
          <w:p w14:paraId="132EF3E0" w14:textId="22524288"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0.370</w:t>
            </w:r>
          </w:p>
        </w:tc>
      </w:tr>
      <w:tr w:rsidR="00E04C18" w:rsidRPr="002C2F74" w14:paraId="352357F1" w14:textId="0B4E9DC3" w:rsidTr="00E04C18">
        <w:trPr>
          <w:jc w:val="center"/>
        </w:trPr>
        <w:tc>
          <w:tcPr>
            <w:tcW w:w="1099" w:type="dxa"/>
            <w:vAlign w:val="center"/>
          </w:tcPr>
          <w:p w14:paraId="30969C71" w14:textId="0EFEDD84"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1CFC6D66" w14:textId="6284D91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Inferior Frontal Gyrus</w:t>
            </w:r>
          </w:p>
        </w:tc>
        <w:tc>
          <w:tcPr>
            <w:tcW w:w="1446" w:type="dxa"/>
            <w:vAlign w:val="center"/>
          </w:tcPr>
          <w:p w14:paraId="1AFDAD6F" w14:textId="1D89DDF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III-IV</w:t>
            </w:r>
          </w:p>
        </w:tc>
        <w:tc>
          <w:tcPr>
            <w:tcW w:w="1768" w:type="dxa"/>
            <w:vAlign w:val="center"/>
          </w:tcPr>
          <w:p w14:paraId="10F34AD4" w14:textId="34E2AE87"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608A4FC6" w14:textId="192B79B7"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976</w:t>
            </w:r>
          </w:p>
        </w:tc>
        <w:tc>
          <w:tcPr>
            <w:tcW w:w="1222" w:type="dxa"/>
            <w:vAlign w:val="center"/>
          </w:tcPr>
          <w:p w14:paraId="6206FCF5" w14:textId="48CF31E0"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0.121</w:t>
            </w:r>
          </w:p>
        </w:tc>
      </w:tr>
      <w:tr w:rsidR="00E04C18" w:rsidRPr="002C2F74" w14:paraId="7674E3BC" w14:textId="412328E8" w:rsidTr="00E04C18">
        <w:trPr>
          <w:jc w:val="center"/>
        </w:trPr>
        <w:tc>
          <w:tcPr>
            <w:tcW w:w="1099" w:type="dxa"/>
            <w:vAlign w:val="center"/>
          </w:tcPr>
          <w:p w14:paraId="27F17971" w14:textId="33E92059"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MSBB</w:t>
            </w:r>
          </w:p>
        </w:tc>
        <w:tc>
          <w:tcPr>
            <w:tcW w:w="2553" w:type="dxa"/>
            <w:vAlign w:val="center"/>
          </w:tcPr>
          <w:p w14:paraId="75CCA310" w14:textId="118AB905"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Inferior Frontal Gyrus</w:t>
            </w:r>
          </w:p>
        </w:tc>
        <w:tc>
          <w:tcPr>
            <w:tcW w:w="1446" w:type="dxa"/>
            <w:vAlign w:val="center"/>
          </w:tcPr>
          <w:p w14:paraId="469893CC" w14:textId="11E8C19F"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III-IV</w:t>
            </w:r>
          </w:p>
        </w:tc>
        <w:tc>
          <w:tcPr>
            <w:tcW w:w="1768" w:type="dxa"/>
            <w:vAlign w:val="center"/>
          </w:tcPr>
          <w:p w14:paraId="666AE408" w14:textId="0F512C29"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2DBAE877" w14:textId="49ACDDCE"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2649</w:t>
            </w:r>
          </w:p>
        </w:tc>
        <w:tc>
          <w:tcPr>
            <w:tcW w:w="1222" w:type="dxa"/>
            <w:vAlign w:val="center"/>
          </w:tcPr>
          <w:p w14:paraId="7CE52751" w14:textId="4FB92961"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0.329</w:t>
            </w:r>
          </w:p>
        </w:tc>
      </w:tr>
      <w:tr w:rsidR="00E04C18" w:rsidRPr="002C2F74" w14:paraId="72BA715A" w14:textId="7E2242DC" w:rsidTr="00E04C18">
        <w:trPr>
          <w:jc w:val="center"/>
        </w:trPr>
        <w:tc>
          <w:tcPr>
            <w:tcW w:w="1099" w:type="dxa"/>
            <w:vAlign w:val="center"/>
          </w:tcPr>
          <w:p w14:paraId="7D51A093" w14:textId="07C6019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lastRenderedPageBreak/>
              <w:t>MSBB</w:t>
            </w:r>
          </w:p>
        </w:tc>
        <w:tc>
          <w:tcPr>
            <w:tcW w:w="2553" w:type="dxa"/>
            <w:vAlign w:val="center"/>
          </w:tcPr>
          <w:p w14:paraId="3F8A1C37" w14:textId="52383BA6"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Inferior Frontal Gyrus</w:t>
            </w:r>
          </w:p>
        </w:tc>
        <w:tc>
          <w:tcPr>
            <w:tcW w:w="1446" w:type="dxa"/>
            <w:vAlign w:val="center"/>
          </w:tcPr>
          <w:p w14:paraId="30694AB7" w14:textId="52552CD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CDR III-IV</w:t>
            </w:r>
          </w:p>
        </w:tc>
        <w:tc>
          <w:tcPr>
            <w:tcW w:w="1768" w:type="dxa"/>
            <w:vAlign w:val="center"/>
          </w:tcPr>
          <w:p w14:paraId="52641510" w14:textId="7FFF312F"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6488E4B2" w14:textId="6127709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4436</w:t>
            </w:r>
          </w:p>
        </w:tc>
        <w:tc>
          <w:tcPr>
            <w:tcW w:w="1222" w:type="dxa"/>
            <w:vAlign w:val="center"/>
          </w:tcPr>
          <w:p w14:paraId="036BFC9E" w14:textId="0D754143"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0.550</w:t>
            </w:r>
          </w:p>
        </w:tc>
      </w:tr>
      <w:tr w:rsidR="00E04C18" w:rsidRPr="002C2F74" w14:paraId="36802F6A" w14:textId="60C6F544" w:rsidTr="00E04C18">
        <w:trPr>
          <w:jc w:val="center"/>
        </w:trPr>
        <w:tc>
          <w:tcPr>
            <w:tcW w:w="1099" w:type="dxa"/>
            <w:vAlign w:val="center"/>
          </w:tcPr>
          <w:p w14:paraId="759B9116" w14:textId="41164B42"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GSE95587</w:t>
            </w:r>
          </w:p>
        </w:tc>
        <w:tc>
          <w:tcPr>
            <w:tcW w:w="2553" w:type="dxa"/>
            <w:vAlign w:val="center"/>
          </w:tcPr>
          <w:p w14:paraId="6C1A01E2" w14:textId="0F5201F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Fusiform Gyrus</w:t>
            </w:r>
          </w:p>
        </w:tc>
        <w:tc>
          <w:tcPr>
            <w:tcW w:w="1446" w:type="dxa"/>
            <w:vAlign w:val="center"/>
          </w:tcPr>
          <w:p w14:paraId="3CC735E9" w14:textId="582306AC"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Braak III-IV</w:t>
            </w:r>
          </w:p>
        </w:tc>
        <w:tc>
          <w:tcPr>
            <w:tcW w:w="1768" w:type="dxa"/>
            <w:vAlign w:val="center"/>
          </w:tcPr>
          <w:p w14:paraId="416BFA65" w14:textId="181FB628"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6671CADB" w14:textId="401F11AC"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316</w:t>
            </w:r>
          </w:p>
        </w:tc>
        <w:tc>
          <w:tcPr>
            <w:tcW w:w="1222" w:type="dxa"/>
            <w:vAlign w:val="center"/>
          </w:tcPr>
          <w:p w14:paraId="4BBC1090" w14:textId="665564B4"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0.257</w:t>
            </w:r>
          </w:p>
        </w:tc>
      </w:tr>
      <w:tr w:rsidR="00E04C18" w:rsidRPr="002C2F74" w14:paraId="114E4D89" w14:textId="08D43C82" w:rsidTr="00E04C18">
        <w:trPr>
          <w:jc w:val="center"/>
        </w:trPr>
        <w:tc>
          <w:tcPr>
            <w:tcW w:w="1099" w:type="dxa"/>
            <w:vAlign w:val="center"/>
          </w:tcPr>
          <w:p w14:paraId="6EA7D903" w14:textId="02F5D8C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GSE95587</w:t>
            </w:r>
          </w:p>
        </w:tc>
        <w:tc>
          <w:tcPr>
            <w:tcW w:w="2553" w:type="dxa"/>
            <w:vAlign w:val="center"/>
          </w:tcPr>
          <w:p w14:paraId="383D2A52" w14:textId="2C8A870A"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Fusiform Gyrus</w:t>
            </w:r>
          </w:p>
        </w:tc>
        <w:tc>
          <w:tcPr>
            <w:tcW w:w="1446" w:type="dxa"/>
            <w:vAlign w:val="center"/>
          </w:tcPr>
          <w:p w14:paraId="1D8D6ABA" w14:textId="596B535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Braak III-IV</w:t>
            </w:r>
          </w:p>
        </w:tc>
        <w:tc>
          <w:tcPr>
            <w:tcW w:w="1768" w:type="dxa"/>
            <w:vAlign w:val="center"/>
          </w:tcPr>
          <w:p w14:paraId="55441A5D" w14:textId="5B738F4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30B455DA" w14:textId="06108437"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722</w:t>
            </w:r>
          </w:p>
        </w:tc>
        <w:tc>
          <w:tcPr>
            <w:tcW w:w="1222" w:type="dxa"/>
            <w:vAlign w:val="center"/>
          </w:tcPr>
          <w:p w14:paraId="5121F2AF" w14:textId="75054486"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0.587</w:t>
            </w:r>
          </w:p>
        </w:tc>
      </w:tr>
      <w:tr w:rsidR="00E04C18" w:rsidRPr="002C2F74" w14:paraId="068DDCB2" w14:textId="1E680AE7" w:rsidTr="00E04C18">
        <w:trPr>
          <w:jc w:val="center"/>
        </w:trPr>
        <w:tc>
          <w:tcPr>
            <w:tcW w:w="1099" w:type="dxa"/>
            <w:vAlign w:val="center"/>
          </w:tcPr>
          <w:p w14:paraId="0401433C" w14:textId="42ACF7F7"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GSE95587</w:t>
            </w:r>
          </w:p>
        </w:tc>
        <w:tc>
          <w:tcPr>
            <w:tcW w:w="2553" w:type="dxa"/>
            <w:vAlign w:val="center"/>
          </w:tcPr>
          <w:p w14:paraId="3F7D0CB2" w14:textId="00B18B3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Fusiform Gyrus</w:t>
            </w:r>
          </w:p>
        </w:tc>
        <w:tc>
          <w:tcPr>
            <w:tcW w:w="1446" w:type="dxa"/>
            <w:vAlign w:val="center"/>
          </w:tcPr>
          <w:p w14:paraId="3B5CCF79" w14:textId="363741BB"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Braak III-IV</w:t>
            </w:r>
          </w:p>
        </w:tc>
        <w:tc>
          <w:tcPr>
            <w:tcW w:w="1768" w:type="dxa"/>
            <w:vAlign w:val="center"/>
          </w:tcPr>
          <w:p w14:paraId="72902162" w14:textId="47C4487A"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1E5D90EF" w14:textId="661D8DD2"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191</w:t>
            </w:r>
          </w:p>
        </w:tc>
        <w:tc>
          <w:tcPr>
            <w:tcW w:w="1222" w:type="dxa"/>
            <w:vAlign w:val="center"/>
          </w:tcPr>
          <w:p w14:paraId="187705E7" w14:textId="6622C189"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0.155</w:t>
            </w:r>
          </w:p>
        </w:tc>
      </w:tr>
      <w:tr w:rsidR="00E04C18" w:rsidRPr="002C2F74" w14:paraId="0D406511" w14:textId="292A3B6C" w:rsidTr="00E04C18">
        <w:trPr>
          <w:jc w:val="center"/>
        </w:trPr>
        <w:tc>
          <w:tcPr>
            <w:tcW w:w="1099" w:type="dxa"/>
            <w:vAlign w:val="center"/>
          </w:tcPr>
          <w:p w14:paraId="0B58512A" w14:textId="16D6A86E"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GSE95587</w:t>
            </w:r>
          </w:p>
        </w:tc>
        <w:tc>
          <w:tcPr>
            <w:tcW w:w="2553" w:type="dxa"/>
            <w:vAlign w:val="center"/>
          </w:tcPr>
          <w:p w14:paraId="562E6A16" w14:textId="44083B8F"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Fusiform Gyrus</w:t>
            </w:r>
          </w:p>
        </w:tc>
        <w:tc>
          <w:tcPr>
            <w:tcW w:w="1446" w:type="dxa"/>
            <w:vAlign w:val="center"/>
          </w:tcPr>
          <w:p w14:paraId="4DA89FD0" w14:textId="0AE1AE4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Braak V-VI</w:t>
            </w:r>
          </w:p>
        </w:tc>
        <w:tc>
          <w:tcPr>
            <w:tcW w:w="1768" w:type="dxa"/>
            <w:vAlign w:val="center"/>
          </w:tcPr>
          <w:p w14:paraId="5907D5E3" w14:textId="25DAD2C5"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lncRNA</w:t>
            </w:r>
          </w:p>
        </w:tc>
        <w:tc>
          <w:tcPr>
            <w:tcW w:w="928" w:type="dxa"/>
            <w:vAlign w:val="center"/>
          </w:tcPr>
          <w:p w14:paraId="1CA551D0" w14:textId="3C5B0BF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323</w:t>
            </w:r>
          </w:p>
        </w:tc>
        <w:tc>
          <w:tcPr>
            <w:tcW w:w="1222" w:type="dxa"/>
            <w:vAlign w:val="center"/>
          </w:tcPr>
          <w:p w14:paraId="5436632B" w14:textId="5E67A485"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0.211</w:t>
            </w:r>
          </w:p>
        </w:tc>
      </w:tr>
      <w:tr w:rsidR="00E04C18" w:rsidRPr="002C2F74" w14:paraId="49E6114F" w14:textId="458746A8" w:rsidTr="00E04C18">
        <w:trPr>
          <w:jc w:val="center"/>
        </w:trPr>
        <w:tc>
          <w:tcPr>
            <w:tcW w:w="1099" w:type="dxa"/>
            <w:vAlign w:val="center"/>
          </w:tcPr>
          <w:p w14:paraId="7A72021B" w14:textId="0BE5E66F"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GSE95587</w:t>
            </w:r>
          </w:p>
        </w:tc>
        <w:tc>
          <w:tcPr>
            <w:tcW w:w="2553" w:type="dxa"/>
            <w:vAlign w:val="center"/>
          </w:tcPr>
          <w:p w14:paraId="02C7CA36" w14:textId="0DC5E78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Fusiform Gyrus</w:t>
            </w:r>
          </w:p>
        </w:tc>
        <w:tc>
          <w:tcPr>
            <w:tcW w:w="1446" w:type="dxa"/>
            <w:vAlign w:val="center"/>
          </w:tcPr>
          <w:p w14:paraId="45A52B98" w14:textId="7C50BAAD"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Braak V-VI</w:t>
            </w:r>
          </w:p>
        </w:tc>
        <w:tc>
          <w:tcPr>
            <w:tcW w:w="1768" w:type="dxa"/>
            <w:vAlign w:val="center"/>
          </w:tcPr>
          <w:p w14:paraId="6C8645FA" w14:textId="35A7E125"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protein-coding</w:t>
            </w:r>
          </w:p>
        </w:tc>
        <w:tc>
          <w:tcPr>
            <w:tcW w:w="928" w:type="dxa"/>
            <w:vAlign w:val="center"/>
          </w:tcPr>
          <w:p w14:paraId="76377DE8" w14:textId="37E180D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754</w:t>
            </w:r>
          </w:p>
        </w:tc>
        <w:tc>
          <w:tcPr>
            <w:tcW w:w="1222" w:type="dxa"/>
            <w:vAlign w:val="center"/>
          </w:tcPr>
          <w:p w14:paraId="71AE734B" w14:textId="491F76E8"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0.492</w:t>
            </w:r>
          </w:p>
        </w:tc>
      </w:tr>
      <w:tr w:rsidR="00E04C18" w:rsidRPr="002C2F74" w14:paraId="5B9A422F" w14:textId="4C8A0366" w:rsidTr="00E04C18">
        <w:trPr>
          <w:jc w:val="center"/>
        </w:trPr>
        <w:tc>
          <w:tcPr>
            <w:tcW w:w="1099" w:type="dxa"/>
            <w:vAlign w:val="center"/>
          </w:tcPr>
          <w:p w14:paraId="1A32F06C" w14:textId="6117B461"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GSE95587</w:t>
            </w:r>
          </w:p>
        </w:tc>
        <w:tc>
          <w:tcPr>
            <w:tcW w:w="2553" w:type="dxa"/>
            <w:vAlign w:val="center"/>
          </w:tcPr>
          <w:p w14:paraId="2F3E2837" w14:textId="656FE100"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Fusiform Gyrus</w:t>
            </w:r>
          </w:p>
        </w:tc>
        <w:tc>
          <w:tcPr>
            <w:tcW w:w="1446" w:type="dxa"/>
            <w:vAlign w:val="center"/>
          </w:tcPr>
          <w:p w14:paraId="7E999CAB" w14:textId="1017AF32"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Braak V-VI</w:t>
            </w:r>
          </w:p>
        </w:tc>
        <w:tc>
          <w:tcPr>
            <w:tcW w:w="1768" w:type="dxa"/>
            <w:vAlign w:val="center"/>
          </w:tcPr>
          <w:p w14:paraId="661C5264" w14:textId="44031928" w:rsidR="008B73D8" w:rsidRPr="002C2F74" w:rsidRDefault="00D63AD3" w:rsidP="008B73D8">
            <w:pPr>
              <w:widowControl/>
              <w:jc w:val="left"/>
              <w:rPr>
                <w:rFonts w:cs="Times New Roman"/>
                <w:b/>
                <w:bCs/>
                <w:sz w:val="20"/>
                <w:szCs w:val="20"/>
              </w:rPr>
            </w:pPr>
            <w:r w:rsidRPr="00D63AD3">
              <w:rPr>
                <w:rFonts w:eastAsia="等线" w:cs="Times New Roman"/>
                <w:color w:val="000000"/>
                <w:sz w:val="20"/>
                <w:szCs w:val="20"/>
              </w:rPr>
              <w:t>other non-coding RNA</w:t>
            </w:r>
          </w:p>
        </w:tc>
        <w:tc>
          <w:tcPr>
            <w:tcW w:w="928" w:type="dxa"/>
            <w:vAlign w:val="center"/>
          </w:tcPr>
          <w:p w14:paraId="6791B359" w14:textId="1F842526" w:rsidR="008B73D8" w:rsidRPr="002C2F74" w:rsidRDefault="008B73D8" w:rsidP="008B73D8">
            <w:pPr>
              <w:widowControl/>
              <w:jc w:val="left"/>
              <w:rPr>
                <w:rFonts w:cs="Times New Roman"/>
                <w:b/>
                <w:bCs/>
                <w:sz w:val="20"/>
                <w:szCs w:val="20"/>
              </w:rPr>
            </w:pPr>
            <w:r w:rsidRPr="002C2F74">
              <w:rPr>
                <w:rFonts w:eastAsia="等线" w:cs="Times New Roman"/>
                <w:color w:val="000000"/>
                <w:sz w:val="20"/>
                <w:szCs w:val="20"/>
              </w:rPr>
              <w:t>456</w:t>
            </w:r>
          </w:p>
        </w:tc>
        <w:tc>
          <w:tcPr>
            <w:tcW w:w="1222" w:type="dxa"/>
            <w:vAlign w:val="center"/>
          </w:tcPr>
          <w:p w14:paraId="65B14355" w14:textId="57216E08" w:rsidR="008B73D8" w:rsidRPr="002C2F74" w:rsidRDefault="008B73D8" w:rsidP="008B73D8">
            <w:pPr>
              <w:widowControl/>
              <w:jc w:val="left"/>
              <w:rPr>
                <w:rFonts w:eastAsia="等线" w:cs="Times New Roman"/>
                <w:color w:val="000000"/>
                <w:sz w:val="20"/>
                <w:szCs w:val="20"/>
              </w:rPr>
            </w:pPr>
            <w:r w:rsidRPr="002C2F74">
              <w:rPr>
                <w:rFonts w:eastAsia="等线" w:cs="Times New Roman"/>
                <w:color w:val="000000"/>
                <w:sz w:val="20"/>
                <w:szCs w:val="20"/>
              </w:rPr>
              <w:t>0.297</w:t>
            </w:r>
          </w:p>
        </w:tc>
      </w:tr>
    </w:tbl>
    <w:p w14:paraId="36DD6B66" w14:textId="3ED742ED" w:rsidR="00130737" w:rsidRPr="00FE51E6" w:rsidRDefault="00FE51E6" w:rsidP="00291327">
      <w:pPr>
        <w:snapToGrid w:val="0"/>
        <w:spacing w:line="276" w:lineRule="auto"/>
      </w:pPr>
      <w:r w:rsidRPr="00291327">
        <w:rPr>
          <w:rFonts w:eastAsiaTheme="minorEastAsia" w:cs="Times New Roman"/>
          <w:b/>
          <w:bCs/>
          <w:color w:val="000000" w:themeColor="text1"/>
          <w:sz w:val="20"/>
          <w:szCs w:val="20"/>
        </w:rPr>
        <w:t>Note</w:t>
      </w:r>
      <w:r w:rsidRPr="00291327">
        <w:rPr>
          <w:rFonts w:eastAsiaTheme="minorEastAsia" w:cs="Times New Roman" w:hint="eastAsia"/>
          <w:b/>
          <w:bCs/>
          <w:color w:val="000000" w:themeColor="text1"/>
          <w:sz w:val="20"/>
          <w:szCs w:val="20"/>
        </w:rPr>
        <w:t>：</w:t>
      </w:r>
      <w:r w:rsidRPr="00291327">
        <w:rPr>
          <w:rFonts w:eastAsia="等线" w:cs="Times New Roman"/>
          <w:color w:val="000000"/>
          <w:sz w:val="20"/>
          <w:szCs w:val="20"/>
        </w:rPr>
        <w:t>CDR</w:t>
      </w:r>
      <w:r w:rsidR="009110F9" w:rsidRPr="00291327">
        <w:rPr>
          <w:rFonts w:eastAsia="等线" w:cs="Times New Roman"/>
          <w:color w:val="000000"/>
          <w:sz w:val="20"/>
          <w:szCs w:val="20"/>
        </w:rPr>
        <w:t xml:space="preserve"> (</w:t>
      </w:r>
      <w:r w:rsidRPr="00291327">
        <w:rPr>
          <w:rFonts w:eastAsia="等线" w:cs="Times New Roman"/>
          <w:color w:val="000000"/>
          <w:sz w:val="20"/>
          <w:szCs w:val="20"/>
        </w:rPr>
        <w:t>Clinical Dementia Rating</w:t>
      </w:r>
      <w:r w:rsidR="009110F9" w:rsidRPr="009110F9">
        <w:rPr>
          <w:rFonts w:eastAsia="等线" w:cs="Times New Roman"/>
          <w:color w:val="000000"/>
          <w:sz w:val="20"/>
          <w:szCs w:val="20"/>
        </w:rPr>
        <w:t>):</w:t>
      </w:r>
      <w:r w:rsidRPr="00291327">
        <w:rPr>
          <w:rFonts w:eastAsia="等线" w:cs="Times New Roman"/>
          <w:color w:val="000000"/>
          <w:sz w:val="20"/>
          <w:szCs w:val="20"/>
        </w:rPr>
        <w:t xml:space="preserve"> a standard used to assess the severity of dementia </w:t>
      </w:r>
      <w:r w:rsidR="009110F9" w:rsidRPr="009110F9">
        <w:rPr>
          <w:rFonts w:eastAsia="等线" w:cs="Times New Roman"/>
          <w:color w:val="000000"/>
          <w:sz w:val="20"/>
          <w:szCs w:val="20"/>
        </w:rPr>
        <w:t>of patients</w:t>
      </w:r>
      <w:r w:rsidRPr="00291327">
        <w:rPr>
          <w:rFonts w:eastAsia="等线" w:cs="Times New Roman"/>
          <w:color w:val="000000"/>
          <w:sz w:val="20"/>
          <w:szCs w:val="20"/>
        </w:rPr>
        <w:t>.</w:t>
      </w:r>
      <w:r w:rsidR="009110F9" w:rsidRPr="00291327">
        <w:rPr>
          <w:rFonts w:cs="Times New Roman"/>
          <w:sz w:val="20"/>
          <w:szCs w:val="20"/>
        </w:rPr>
        <w:t xml:space="preserve"> </w:t>
      </w:r>
      <w:r w:rsidRPr="00291327">
        <w:rPr>
          <w:rFonts w:cs="Times New Roman"/>
          <w:sz w:val="20"/>
          <w:szCs w:val="20"/>
        </w:rPr>
        <w:t>Braak</w:t>
      </w:r>
      <w:r w:rsidR="009110F9" w:rsidRPr="00291327">
        <w:rPr>
          <w:rFonts w:cs="Times New Roman"/>
          <w:sz w:val="20"/>
          <w:szCs w:val="20"/>
        </w:rPr>
        <w:t xml:space="preserve"> </w:t>
      </w:r>
      <w:r w:rsidR="009110F9">
        <w:rPr>
          <w:rFonts w:cs="Times New Roman"/>
          <w:sz w:val="20"/>
          <w:szCs w:val="20"/>
        </w:rPr>
        <w:t>s</w:t>
      </w:r>
      <w:r w:rsidRPr="00291327">
        <w:rPr>
          <w:rFonts w:eastAsiaTheme="minorEastAsia" w:cs="Times New Roman"/>
          <w:color w:val="000000" w:themeColor="text1"/>
          <w:sz w:val="20"/>
          <w:szCs w:val="20"/>
        </w:rPr>
        <w:t xml:space="preserve">taging </w:t>
      </w:r>
      <w:r w:rsidR="009110F9">
        <w:rPr>
          <w:rFonts w:eastAsiaTheme="minorEastAsia" w:cs="Times New Roman"/>
          <w:color w:val="000000" w:themeColor="text1"/>
          <w:sz w:val="20"/>
          <w:szCs w:val="20"/>
        </w:rPr>
        <w:t>is a system for measuring</w:t>
      </w:r>
      <w:r w:rsidR="009110F9" w:rsidRPr="00291327">
        <w:rPr>
          <w:rFonts w:eastAsiaTheme="minorEastAsia" w:cs="Times New Roman"/>
          <w:color w:val="000000" w:themeColor="text1"/>
          <w:sz w:val="20"/>
          <w:szCs w:val="20"/>
        </w:rPr>
        <w:t xml:space="preserve"> </w:t>
      </w:r>
      <w:r w:rsidRPr="00291327">
        <w:rPr>
          <w:rFonts w:eastAsiaTheme="minorEastAsia" w:cs="Times New Roman"/>
          <w:color w:val="000000" w:themeColor="text1"/>
          <w:sz w:val="20"/>
          <w:szCs w:val="20"/>
        </w:rPr>
        <w:t xml:space="preserve">the progression </w:t>
      </w:r>
      <w:r w:rsidR="009110F9">
        <w:rPr>
          <w:rFonts w:eastAsiaTheme="minorEastAsia" w:cs="Times New Roman"/>
          <w:color w:val="000000" w:themeColor="text1"/>
          <w:sz w:val="20"/>
          <w:szCs w:val="20"/>
        </w:rPr>
        <w:t xml:space="preserve">level </w:t>
      </w:r>
      <w:r w:rsidRPr="00291327">
        <w:rPr>
          <w:rFonts w:eastAsiaTheme="minorEastAsia" w:cs="Times New Roman"/>
          <w:color w:val="000000" w:themeColor="text1"/>
          <w:sz w:val="20"/>
          <w:szCs w:val="20"/>
        </w:rPr>
        <w:t xml:space="preserve">of </w:t>
      </w:r>
      <w:r w:rsidR="009110F9">
        <w:rPr>
          <w:rFonts w:eastAsiaTheme="minorEastAsia" w:cs="Times New Roman"/>
          <w:color w:val="000000" w:themeColor="text1"/>
          <w:sz w:val="20"/>
          <w:szCs w:val="20"/>
        </w:rPr>
        <w:t xml:space="preserve">AD </w:t>
      </w:r>
      <w:r w:rsidRPr="00291327">
        <w:rPr>
          <w:rFonts w:eastAsiaTheme="minorEastAsia" w:cs="Times New Roman"/>
          <w:color w:val="000000" w:themeColor="text1"/>
          <w:sz w:val="20"/>
          <w:szCs w:val="20"/>
        </w:rPr>
        <w:t>based on neuropathological changes in the brain</w:t>
      </w:r>
      <w:r w:rsidRPr="00FE51E6">
        <w:rPr>
          <w:rFonts w:eastAsiaTheme="minorEastAsia" w:cs="Times New Roman"/>
          <w:color w:val="000000" w:themeColor="text1"/>
        </w:rPr>
        <w:t>.</w:t>
      </w:r>
    </w:p>
    <w:p w14:paraId="7498D76D" w14:textId="77777777" w:rsidR="0060013B" w:rsidRPr="002C2F74" w:rsidRDefault="0060013B">
      <w:pPr>
        <w:widowControl/>
        <w:jc w:val="left"/>
        <w:rPr>
          <w:b/>
          <w:bCs/>
        </w:rPr>
      </w:pPr>
    </w:p>
    <w:p w14:paraId="67CED915" w14:textId="749258AC" w:rsidR="0042638A" w:rsidRPr="002C2F74" w:rsidRDefault="0065619B" w:rsidP="00A52CFA">
      <w:pPr>
        <w:widowControl/>
      </w:pPr>
      <w:r w:rsidRPr="002C2F74">
        <w:rPr>
          <w:rFonts w:hint="eastAsia"/>
          <w:b/>
          <w:bCs/>
        </w:rPr>
        <w:t xml:space="preserve">Table </w:t>
      </w:r>
      <w:r w:rsidR="00275D29" w:rsidRPr="002C2F74">
        <w:rPr>
          <w:rFonts w:hint="eastAsia"/>
          <w:b/>
          <w:bCs/>
        </w:rPr>
        <w:t>3</w:t>
      </w:r>
      <w:r w:rsidRPr="002C2F74">
        <w:rPr>
          <w:rFonts w:hint="eastAsia"/>
          <w:b/>
          <w:bCs/>
        </w:rPr>
        <w:t xml:space="preserve">. </w:t>
      </w:r>
      <w:r w:rsidR="00276C1B" w:rsidRPr="00291327">
        <w:t xml:space="preserve">The </w:t>
      </w:r>
      <w:r w:rsidR="00276C1B">
        <w:t>n</w:t>
      </w:r>
      <w:r w:rsidRPr="002C2F74">
        <w:t>umber of transcripts associated with AD</w:t>
      </w:r>
      <w:r w:rsidRPr="002C2F74">
        <w:rPr>
          <w:rFonts w:hint="eastAsia"/>
        </w:rPr>
        <w:t xml:space="preserve"> </w:t>
      </w:r>
      <w:r w:rsidRPr="002C2F74">
        <w:t>hallmarks in</w:t>
      </w:r>
      <w:r w:rsidR="00276C1B">
        <w:t xml:space="preserve"> </w:t>
      </w:r>
      <w:proofErr w:type="gramStart"/>
      <w:r w:rsidR="00276C1B">
        <w:t>our</w:t>
      </w:r>
      <w:proofErr w:type="gramEnd"/>
      <w:r w:rsidR="00276C1B">
        <w:t xml:space="preserve"> vs. the existing transcripts</w:t>
      </w:r>
      <w:r w:rsidRPr="002C2F74">
        <w:t>.</w:t>
      </w:r>
    </w:p>
    <w:tbl>
      <w:tblPr>
        <w:tblStyle w:val="afb"/>
        <w:tblW w:w="9351" w:type="dxa"/>
        <w:tblLayout w:type="fixed"/>
        <w:tblLook w:val="04A0" w:firstRow="1" w:lastRow="0" w:firstColumn="1" w:lastColumn="0" w:noHBand="0" w:noVBand="1"/>
      </w:tblPr>
      <w:tblGrid>
        <w:gridCol w:w="2689"/>
        <w:gridCol w:w="1701"/>
        <w:gridCol w:w="1842"/>
        <w:gridCol w:w="1276"/>
        <w:gridCol w:w="1843"/>
      </w:tblGrid>
      <w:tr w:rsidR="00276C1B" w:rsidRPr="002C2F74" w14:paraId="32CDDCC1" w14:textId="77777777" w:rsidTr="00291327">
        <w:tc>
          <w:tcPr>
            <w:tcW w:w="2689" w:type="dxa"/>
            <w:vAlign w:val="center"/>
          </w:tcPr>
          <w:p w14:paraId="17A50F6A" w14:textId="5E078078" w:rsidR="00276C1B" w:rsidRPr="00291327" w:rsidRDefault="00276C1B" w:rsidP="00291327">
            <w:pPr>
              <w:widowControl/>
              <w:jc w:val="center"/>
              <w:rPr>
                <w:rFonts w:cs="Times New Roman"/>
                <w:sz w:val="18"/>
                <w:szCs w:val="18"/>
              </w:rPr>
            </w:pPr>
            <w:r w:rsidRPr="00291327">
              <w:rPr>
                <w:rFonts w:eastAsia="等线" w:cs="Times New Roman"/>
                <w:b/>
                <w:bCs/>
                <w:color w:val="000000"/>
                <w:sz w:val="18"/>
                <w:szCs w:val="18"/>
              </w:rPr>
              <w:t>Phenotype</w:t>
            </w:r>
          </w:p>
        </w:tc>
        <w:tc>
          <w:tcPr>
            <w:tcW w:w="1701" w:type="dxa"/>
            <w:vAlign w:val="center"/>
          </w:tcPr>
          <w:p w14:paraId="324D2229" w14:textId="512B5679" w:rsidR="00276C1B" w:rsidRPr="00291327" w:rsidRDefault="00276C1B" w:rsidP="00291327">
            <w:pPr>
              <w:widowControl/>
              <w:jc w:val="center"/>
              <w:rPr>
                <w:rFonts w:cs="Times New Roman"/>
                <w:sz w:val="18"/>
                <w:szCs w:val="18"/>
              </w:rPr>
            </w:pPr>
            <w:r w:rsidRPr="00291327">
              <w:rPr>
                <w:rFonts w:eastAsia="等线" w:cs="Times New Roman"/>
                <w:b/>
                <w:bCs/>
                <w:color w:val="000000"/>
                <w:sz w:val="18"/>
                <w:szCs w:val="18"/>
              </w:rPr>
              <w:t>Our protein-coding transcripts</w:t>
            </w:r>
          </w:p>
        </w:tc>
        <w:tc>
          <w:tcPr>
            <w:tcW w:w="1842" w:type="dxa"/>
            <w:vAlign w:val="center"/>
          </w:tcPr>
          <w:p w14:paraId="542451C4" w14:textId="4A8CCD64" w:rsidR="00276C1B" w:rsidRPr="00291327" w:rsidRDefault="00276C1B" w:rsidP="00291327">
            <w:pPr>
              <w:widowControl/>
              <w:jc w:val="center"/>
              <w:rPr>
                <w:rFonts w:cs="Times New Roman"/>
                <w:sz w:val="18"/>
                <w:szCs w:val="18"/>
              </w:rPr>
            </w:pPr>
            <w:r w:rsidRPr="00291327">
              <w:rPr>
                <w:rFonts w:eastAsia="等线" w:cs="Times New Roman"/>
                <w:b/>
                <w:bCs/>
                <w:color w:val="000000"/>
                <w:sz w:val="18"/>
                <w:szCs w:val="18"/>
              </w:rPr>
              <w:t>The existing protein-coding transcripts</w:t>
            </w:r>
          </w:p>
        </w:tc>
        <w:tc>
          <w:tcPr>
            <w:tcW w:w="1276" w:type="dxa"/>
            <w:vAlign w:val="center"/>
          </w:tcPr>
          <w:p w14:paraId="0C908CA8" w14:textId="686CAEDA" w:rsidR="00276C1B" w:rsidRPr="00291327" w:rsidRDefault="00276C1B" w:rsidP="00291327">
            <w:pPr>
              <w:widowControl/>
              <w:jc w:val="center"/>
              <w:rPr>
                <w:rFonts w:cs="Times New Roman"/>
                <w:sz w:val="18"/>
                <w:szCs w:val="18"/>
              </w:rPr>
            </w:pPr>
            <w:r w:rsidRPr="00291327">
              <w:rPr>
                <w:rFonts w:eastAsia="等线" w:cs="Times New Roman"/>
                <w:b/>
                <w:bCs/>
                <w:color w:val="000000"/>
                <w:sz w:val="18"/>
                <w:szCs w:val="18"/>
              </w:rPr>
              <w:t>Our</w:t>
            </w:r>
            <w:r w:rsidRPr="00291327">
              <w:rPr>
                <w:rStyle w:val="afd"/>
                <w:sz w:val="18"/>
                <w:szCs w:val="18"/>
              </w:rPr>
              <w:t xml:space="preserve"> </w:t>
            </w:r>
            <w:r w:rsidRPr="00291327">
              <w:rPr>
                <w:rFonts w:eastAsia="等线" w:cs="Times New Roman"/>
                <w:b/>
                <w:bCs/>
                <w:color w:val="000000"/>
                <w:sz w:val="18"/>
                <w:szCs w:val="18"/>
              </w:rPr>
              <w:t>lncRNA transcripts</w:t>
            </w:r>
          </w:p>
        </w:tc>
        <w:tc>
          <w:tcPr>
            <w:tcW w:w="1843" w:type="dxa"/>
            <w:vAlign w:val="center"/>
          </w:tcPr>
          <w:p w14:paraId="2070B46B" w14:textId="0C7D4FE4" w:rsidR="00276C1B" w:rsidRPr="00291327" w:rsidRDefault="00276C1B" w:rsidP="00291327">
            <w:pPr>
              <w:widowControl/>
              <w:jc w:val="center"/>
              <w:rPr>
                <w:rFonts w:cs="Times New Roman"/>
                <w:sz w:val="18"/>
                <w:szCs w:val="18"/>
              </w:rPr>
            </w:pPr>
            <w:r w:rsidRPr="00291327">
              <w:rPr>
                <w:rFonts w:eastAsia="等线" w:cs="Times New Roman"/>
                <w:b/>
                <w:bCs/>
                <w:color w:val="000000"/>
                <w:sz w:val="18"/>
                <w:szCs w:val="18"/>
              </w:rPr>
              <w:t>The existing lncRNA transcripts</w:t>
            </w:r>
          </w:p>
        </w:tc>
      </w:tr>
      <w:tr w:rsidR="00276C1B" w:rsidRPr="00276C1B" w14:paraId="7F5675A4" w14:textId="77777777" w:rsidTr="00291327">
        <w:tc>
          <w:tcPr>
            <w:tcW w:w="2689" w:type="dxa"/>
            <w:vAlign w:val="center"/>
          </w:tcPr>
          <w:p w14:paraId="1E9AA43E" w14:textId="14E43BE6" w:rsidR="00276C1B" w:rsidRPr="00291327" w:rsidRDefault="00276C1B" w:rsidP="00381BBA">
            <w:pPr>
              <w:widowControl/>
              <w:jc w:val="left"/>
              <w:rPr>
                <w:rFonts w:cs="Times New Roman"/>
                <w:sz w:val="18"/>
                <w:szCs w:val="18"/>
              </w:rPr>
            </w:pPr>
            <w:r w:rsidRPr="00291327">
              <w:rPr>
                <w:rFonts w:eastAsia="等线" w:cs="Times New Roman"/>
                <w:color w:val="000000"/>
                <w:sz w:val="18"/>
                <w:szCs w:val="18"/>
              </w:rPr>
              <w:t>Intracellular alkalosis</w:t>
            </w:r>
          </w:p>
        </w:tc>
        <w:tc>
          <w:tcPr>
            <w:tcW w:w="1701" w:type="dxa"/>
            <w:vAlign w:val="center"/>
          </w:tcPr>
          <w:p w14:paraId="2D9BA6FB" w14:textId="7ABF35C7"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125</w:t>
            </w:r>
          </w:p>
        </w:tc>
        <w:tc>
          <w:tcPr>
            <w:tcW w:w="1842" w:type="dxa"/>
            <w:vAlign w:val="center"/>
          </w:tcPr>
          <w:p w14:paraId="4761B776" w14:textId="694CCA31"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115</w:t>
            </w:r>
          </w:p>
        </w:tc>
        <w:tc>
          <w:tcPr>
            <w:tcW w:w="1276" w:type="dxa"/>
            <w:vAlign w:val="center"/>
          </w:tcPr>
          <w:p w14:paraId="35BECE60" w14:textId="52824BAF"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496</w:t>
            </w:r>
          </w:p>
        </w:tc>
        <w:tc>
          <w:tcPr>
            <w:tcW w:w="1843" w:type="dxa"/>
            <w:vAlign w:val="center"/>
          </w:tcPr>
          <w:p w14:paraId="74001004" w14:textId="348D1584"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119</w:t>
            </w:r>
          </w:p>
        </w:tc>
      </w:tr>
      <w:tr w:rsidR="00276C1B" w:rsidRPr="00276C1B" w14:paraId="13C17495" w14:textId="77777777" w:rsidTr="00291327">
        <w:tc>
          <w:tcPr>
            <w:tcW w:w="2689" w:type="dxa"/>
            <w:vAlign w:val="center"/>
          </w:tcPr>
          <w:p w14:paraId="32EC099E" w14:textId="6950BFAF" w:rsidR="00276C1B" w:rsidRPr="00291327" w:rsidRDefault="00276C1B" w:rsidP="00381BBA">
            <w:pPr>
              <w:widowControl/>
              <w:jc w:val="left"/>
              <w:rPr>
                <w:rFonts w:cs="Times New Roman"/>
                <w:sz w:val="18"/>
                <w:szCs w:val="18"/>
              </w:rPr>
            </w:pPr>
            <w:r w:rsidRPr="00291327">
              <w:rPr>
                <w:rFonts w:eastAsia="等线" w:cs="Times New Roman"/>
                <w:color w:val="000000"/>
                <w:sz w:val="18"/>
                <w:szCs w:val="18"/>
              </w:rPr>
              <w:t>Extracellular acidosis</w:t>
            </w:r>
          </w:p>
        </w:tc>
        <w:tc>
          <w:tcPr>
            <w:tcW w:w="1701" w:type="dxa"/>
            <w:vAlign w:val="center"/>
          </w:tcPr>
          <w:p w14:paraId="2439C1C0" w14:textId="25DC2ADC"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39</w:t>
            </w:r>
          </w:p>
        </w:tc>
        <w:tc>
          <w:tcPr>
            <w:tcW w:w="1842" w:type="dxa"/>
            <w:vAlign w:val="center"/>
          </w:tcPr>
          <w:p w14:paraId="56CAA3F0" w14:textId="5CFFB335"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28</w:t>
            </w:r>
          </w:p>
        </w:tc>
        <w:tc>
          <w:tcPr>
            <w:tcW w:w="1276" w:type="dxa"/>
            <w:vAlign w:val="center"/>
          </w:tcPr>
          <w:p w14:paraId="17690468" w14:textId="7E0FB00E"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605</w:t>
            </w:r>
          </w:p>
        </w:tc>
        <w:tc>
          <w:tcPr>
            <w:tcW w:w="1843" w:type="dxa"/>
            <w:vAlign w:val="center"/>
          </w:tcPr>
          <w:p w14:paraId="32DACFD7" w14:textId="0EB8D48B"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310</w:t>
            </w:r>
          </w:p>
        </w:tc>
      </w:tr>
      <w:tr w:rsidR="00276C1B" w:rsidRPr="00276C1B" w14:paraId="29550D57" w14:textId="77777777" w:rsidTr="00291327">
        <w:tc>
          <w:tcPr>
            <w:tcW w:w="2689" w:type="dxa"/>
            <w:vAlign w:val="center"/>
          </w:tcPr>
          <w:p w14:paraId="7FA2302C" w14:textId="22FEB0DA" w:rsidR="00276C1B" w:rsidRPr="00291327" w:rsidRDefault="00276C1B" w:rsidP="009E06C9">
            <w:pPr>
              <w:widowControl/>
              <w:jc w:val="left"/>
              <w:rPr>
                <w:rFonts w:cs="Times New Roman"/>
                <w:sz w:val="18"/>
                <w:szCs w:val="18"/>
              </w:rPr>
            </w:pPr>
            <w:r w:rsidRPr="00291327">
              <w:rPr>
                <w:rFonts w:eastAsia="等线" w:cs="Times New Roman"/>
                <w:color w:val="000000"/>
                <w:sz w:val="18"/>
                <w:szCs w:val="18"/>
              </w:rPr>
              <w:t>Mitochondrial iron accumulation</w:t>
            </w:r>
          </w:p>
        </w:tc>
        <w:tc>
          <w:tcPr>
            <w:tcW w:w="1701" w:type="dxa"/>
            <w:vAlign w:val="center"/>
          </w:tcPr>
          <w:p w14:paraId="0C1F0318" w14:textId="4B517195"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1265</w:t>
            </w:r>
          </w:p>
        </w:tc>
        <w:tc>
          <w:tcPr>
            <w:tcW w:w="1842" w:type="dxa"/>
            <w:vAlign w:val="center"/>
          </w:tcPr>
          <w:p w14:paraId="1CC673FB" w14:textId="43E8F80A"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904</w:t>
            </w:r>
          </w:p>
        </w:tc>
        <w:tc>
          <w:tcPr>
            <w:tcW w:w="1276" w:type="dxa"/>
            <w:vAlign w:val="center"/>
          </w:tcPr>
          <w:p w14:paraId="5EBF00A3" w14:textId="4186B7DB"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819</w:t>
            </w:r>
          </w:p>
        </w:tc>
        <w:tc>
          <w:tcPr>
            <w:tcW w:w="1843" w:type="dxa"/>
            <w:vAlign w:val="center"/>
          </w:tcPr>
          <w:p w14:paraId="608868FF" w14:textId="32748E8C"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340</w:t>
            </w:r>
          </w:p>
        </w:tc>
      </w:tr>
      <w:tr w:rsidR="00276C1B" w:rsidRPr="00276C1B" w14:paraId="764C52F2" w14:textId="77777777" w:rsidTr="00291327">
        <w:trPr>
          <w:trHeight w:val="406"/>
        </w:trPr>
        <w:tc>
          <w:tcPr>
            <w:tcW w:w="2689" w:type="dxa"/>
            <w:vAlign w:val="center"/>
          </w:tcPr>
          <w:p w14:paraId="3EED7AE1" w14:textId="0D3DD774" w:rsidR="00276C1B" w:rsidRPr="00291327" w:rsidRDefault="00276C1B" w:rsidP="009E06C9">
            <w:pPr>
              <w:widowControl/>
              <w:jc w:val="left"/>
              <w:rPr>
                <w:rFonts w:cs="Times New Roman"/>
                <w:sz w:val="18"/>
                <w:szCs w:val="18"/>
              </w:rPr>
            </w:pPr>
            <w:r w:rsidRPr="00291327">
              <w:rPr>
                <w:rFonts w:eastAsia="等线" w:cs="Times New Roman"/>
                <w:color w:val="000000"/>
                <w:sz w:val="18"/>
                <w:szCs w:val="18"/>
              </w:rPr>
              <w:t>Amyloid formation</w:t>
            </w:r>
          </w:p>
        </w:tc>
        <w:tc>
          <w:tcPr>
            <w:tcW w:w="1701" w:type="dxa"/>
            <w:vAlign w:val="center"/>
          </w:tcPr>
          <w:p w14:paraId="378FCD06" w14:textId="7B233DB9"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854</w:t>
            </w:r>
          </w:p>
        </w:tc>
        <w:tc>
          <w:tcPr>
            <w:tcW w:w="1842" w:type="dxa"/>
            <w:vAlign w:val="center"/>
          </w:tcPr>
          <w:p w14:paraId="22B93D5E" w14:textId="39E3A9F6"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774</w:t>
            </w:r>
          </w:p>
        </w:tc>
        <w:tc>
          <w:tcPr>
            <w:tcW w:w="1276" w:type="dxa"/>
            <w:vAlign w:val="center"/>
          </w:tcPr>
          <w:p w14:paraId="780A0074" w14:textId="29B4A6A5" w:rsidR="00276C1B" w:rsidRPr="00291327" w:rsidRDefault="00276C1B" w:rsidP="00291327">
            <w:pPr>
              <w:widowControl/>
              <w:jc w:val="center"/>
              <w:rPr>
                <w:rFonts w:cs="Times New Roman"/>
                <w:sz w:val="18"/>
                <w:szCs w:val="18"/>
              </w:rPr>
            </w:pPr>
            <w:r w:rsidRPr="00291327">
              <w:rPr>
                <w:rStyle w:val="afd"/>
                <w:rFonts w:cs="Times New Roman"/>
                <w:sz w:val="18"/>
                <w:szCs w:val="18"/>
              </w:rPr>
              <w:t>833</w:t>
            </w:r>
          </w:p>
        </w:tc>
        <w:tc>
          <w:tcPr>
            <w:tcW w:w="1843" w:type="dxa"/>
            <w:vAlign w:val="center"/>
          </w:tcPr>
          <w:p w14:paraId="32C06C76" w14:textId="02F3683D"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286</w:t>
            </w:r>
          </w:p>
        </w:tc>
      </w:tr>
      <w:tr w:rsidR="00276C1B" w:rsidRPr="00276C1B" w14:paraId="060571DE" w14:textId="77777777" w:rsidTr="00291327">
        <w:trPr>
          <w:trHeight w:val="511"/>
        </w:trPr>
        <w:tc>
          <w:tcPr>
            <w:tcW w:w="2689" w:type="dxa"/>
            <w:vAlign w:val="center"/>
          </w:tcPr>
          <w:p w14:paraId="69170679" w14:textId="47A2A7AA" w:rsidR="00276C1B" w:rsidRPr="00291327" w:rsidRDefault="00276C1B" w:rsidP="009E06C9">
            <w:pPr>
              <w:widowControl/>
              <w:jc w:val="left"/>
              <w:rPr>
                <w:rFonts w:cs="Times New Roman"/>
                <w:sz w:val="18"/>
                <w:szCs w:val="18"/>
              </w:rPr>
            </w:pPr>
            <w:r w:rsidRPr="00291327">
              <w:rPr>
                <w:rFonts w:eastAsia="等线" w:cs="Times New Roman"/>
                <w:color w:val="000000"/>
                <w:sz w:val="18"/>
                <w:szCs w:val="18"/>
              </w:rPr>
              <w:t xml:space="preserve">Tau fiber formation </w:t>
            </w:r>
          </w:p>
        </w:tc>
        <w:tc>
          <w:tcPr>
            <w:tcW w:w="1701" w:type="dxa"/>
            <w:vAlign w:val="center"/>
          </w:tcPr>
          <w:p w14:paraId="336033D6" w14:textId="22FCDD34"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347</w:t>
            </w:r>
          </w:p>
        </w:tc>
        <w:tc>
          <w:tcPr>
            <w:tcW w:w="1842" w:type="dxa"/>
            <w:vAlign w:val="center"/>
          </w:tcPr>
          <w:p w14:paraId="0CB17774" w14:textId="07C50962"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154</w:t>
            </w:r>
          </w:p>
        </w:tc>
        <w:tc>
          <w:tcPr>
            <w:tcW w:w="1276" w:type="dxa"/>
            <w:vAlign w:val="center"/>
          </w:tcPr>
          <w:p w14:paraId="34CB67C2" w14:textId="71C77F1C"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1077</w:t>
            </w:r>
          </w:p>
        </w:tc>
        <w:tc>
          <w:tcPr>
            <w:tcW w:w="1843" w:type="dxa"/>
            <w:vAlign w:val="center"/>
          </w:tcPr>
          <w:p w14:paraId="7A583DB0" w14:textId="5C689E6A" w:rsidR="00276C1B" w:rsidRPr="00291327" w:rsidRDefault="00276C1B" w:rsidP="00291327">
            <w:pPr>
              <w:widowControl/>
              <w:jc w:val="center"/>
              <w:rPr>
                <w:rFonts w:cs="Times New Roman"/>
                <w:sz w:val="18"/>
                <w:szCs w:val="18"/>
              </w:rPr>
            </w:pPr>
            <w:r w:rsidRPr="00291327">
              <w:rPr>
                <w:rFonts w:eastAsia="等线" w:cs="Times New Roman"/>
                <w:color w:val="000000"/>
                <w:sz w:val="18"/>
                <w:szCs w:val="18"/>
              </w:rPr>
              <w:t>306</w:t>
            </w:r>
          </w:p>
        </w:tc>
      </w:tr>
      <w:tr w:rsidR="00276C1B" w:rsidRPr="00276C1B" w14:paraId="34F32E14" w14:textId="77777777" w:rsidTr="00291327">
        <w:tc>
          <w:tcPr>
            <w:tcW w:w="2689" w:type="dxa"/>
            <w:vAlign w:val="center"/>
          </w:tcPr>
          <w:p w14:paraId="1C49A301" w14:textId="2D60B745" w:rsidR="00276C1B" w:rsidRPr="00291327" w:rsidRDefault="00276C1B" w:rsidP="00381BBA">
            <w:pPr>
              <w:widowControl/>
              <w:jc w:val="left"/>
              <w:rPr>
                <w:rFonts w:eastAsia="等线" w:cs="Times New Roman"/>
                <w:color w:val="000000"/>
                <w:sz w:val="18"/>
                <w:szCs w:val="18"/>
              </w:rPr>
            </w:pPr>
            <w:r w:rsidRPr="00291327">
              <w:rPr>
                <w:rFonts w:eastAsia="等线" w:cs="Times New Roman"/>
                <w:color w:val="000000"/>
                <w:sz w:val="18"/>
                <w:szCs w:val="18"/>
              </w:rPr>
              <w:t>Superoxide generation</w:t>
            </w:r>
          </w:p>
        </w:tc>
        <w:tc>
          <w:tcPr>
            <w:tcW w:w="1701" w:type="dxa"/>
            <w:vAlign w:val="center"/>
          </w:tcPr>
          <w:p w14:paraId="4FFF1901" w14:textId="0B547102"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314</w:t>
            </w:r>
          </w:p>
        </w:tc>
        <w:tc>
          <w:tcPr>
            <w:tcW w:w="1842" w:type="dxa"/>
            <w:vAlign w:val="center"/>
          </w:tcPr>
          <w:p w14:paraId="086F2BAF" w14:textId="41800AA8"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376</w:t>
            </w:r>
          </w:p>
        </w:tc>
        <w:tc>
          <w:tcPr>
            <w:tcW w:w="1276" w:type="dxa"/>
            <w:vAlign w:val="bottom"/>
          </w:tcPr>
          <w:p w14:paraId="0803ADE8" w14:textId="05903E6C"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825</w:t>
            </w:r>
          </w:p>
        </w:tc>
        <w:tc>
          <w:tcPr>
            <w:tcW w:w="1843" w:type="dxa"/>
            <w:vAlign w:val="center"/>
          </w:tcPr>
          <w:p w14:paraId="10334273" w14:textId="09B776BA"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333</w:t>
            </w:r>
          </w:p>
        </w:tc>
      </w:tr>
      <w:tr w:rsidR="00276C1B" w:rsidRPr="00276C1B" w14:paraId="617C22FC" w14:textId="77777777" w:rsidTr="00291327">
        <w:tc>
          <w:tcPr>
            <w:tcW w:w="2689" w:type="dxa"/>
            <w:vAlign w:val="center"/>
          </w:tcPr>
          <w:p w14:paraId="1938283D" w14:textId="40A4536A" w:rsidR="00276C1B" w:rsidRPr="00291327" w:rsidRDefault="00276C1B" w:rsidP="00381BBA">
            <w:pPr>
              <w:widowControl/>
              <w:jc w:val="left"/>
              <w:rPr>
                <w:rFonts w:eastAsia="等线" w:cs="Times New Roman"/>
                <w:color w:val="000000"/>
                <w:sz w:val="18"/>
                <w:szCs w:val="18"/>
              </w:rPr>
            </w:pPr>
            <w:r w:rsidRPr="00291327">
              <w:rPr>
                <w:rFonts w:eastAsia="等线" w:cs="Times New Roman"/>
                <w:color w:val="000000"/>
                <w:sz w:val="18"/>
                <w:szCs w:val="18"/>
              </w:rPr>
              <w:t>Hydrogen peroxide generation</w:t>
            </w:r>
          </w:p>
        </w:tc>
        <w:tc>
          <w:tcPr>
            <w:tcW w:w="1701" w:type="dxa"/>
            <w:vAlign w:val="center"/>
          </w:tcPr>
          <w:p w14:paraId="1A6C59CB" w14:textId="0F510D13"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213</w:t>
            </w:r>
          </w:p>
        </w:tc>
        <w:tc>
          <w:tcPr>
            <w:tcW w:w="1842" w:type="dxa"/>
            <w:vAlign w:val="center"/>
          </w:tcPr>
          <w:p w14:paraId="49BD8BF9" w14:textId="336F5749"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186</w:t>
            </w:r>
          </w:p>
        </w:tc>
        <w:tc>
          <w:tcPr>
            <w:tcW w:w="1276" w:type="dxa"/>
            <w:vAlign w:val="bottom"/>
          </w:tcPr>
          <w:p w14:paraId="7B1B01F7" w14:textId="7A867EE6"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827</w:t>
            </w:r>
          </w:p>
        </w:tc>
        <w:tc>
          <w:tcPr>
            <w:tcW w:w="1843" w:type="dxa"/>
            <w:vAlign w:val="center"/>
          </w:tcPr>
          <w:p w14:paraId="562758FD" w14:textId="14BF3EF5"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324</w:t>
            </w:r>
          </w:p>
        </w:tc>
      </w:tr>
      <w:tr w:rsidR="00276C1B" w:rsidRPr="00276C1B" w14:paraId="1CD15131" w14:textId="77777777" w:rsidTr="00291327">
        <w:tc>
          <w:tcPr>
            <w:tcW w:w="2689" w:type="dxa"/>
            <w:vAlign w:val="bottom"/>
          </w:tcPr>
          <w:p w14:paraId="741A6180" w14:textId="7263A469" w:rsidR="00276C1B" w:rsidRPr="00291327" w:rsidRDefault="00276C1B" w:rsidP="00381BBA">
            <w:pPr>
              <w:widowControl/>
              <w:jc w:val="left"/>
              <w:rPr>
                <w:rFonts w:eastAsia="等线" w:cs="Times New Roman"/>
                <w:color w:val="000000"/>
                <w:sz w:val="18"/>
                <w:szCs w:val="18"/>
              </w:rPr>
            </w:pPr>
            <w:r w:rsidRPr="00291327">
              <w:rPr>
                <w:rFonts w:eastAsia="等线" w:cs="Times New Roman"/>
                <w:color w:val="000000"/>
                <w:sz w:val="18"/>
                <w:szCs w:val="18"/>
              </w:rPr>
              <w:t>Acid loading transporter</w:t>
            </w:r>
          </w:p>
        </w:tc>
        <w:tc>
          <w:tcPr>
            <w:tcW w:w="1701" w:type="dxa"/>
            <w:vAlign w:val="bottom"/>
          </w:tcPr>
          <w:p w14:paraId="331B5095" w14:textId="481A6D86"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182</w:t>
            </w:r>
          </w:p>
        </w:tc>
        <w:tc>
          <w:tcPr>
            <w:tcW w:w="1842" w:type="dxa"/>
            <w:vAlign w:val="center"/>
          </w:tcPr>
          <w:p w14:paraId="39EF2FE2" w14:textId="38E88E30"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117</w:t>
            </w:r>
          </w:p>
        </w:tc>
        <w:tc>
          <w:tcPr>
            <w:tcW w:w="1276" w:type="dxa"/>
            <w:vAlign w:val="center"/>
          </w:tcPr>
          <w:p w14:paraId="0BBE8927" w14:textId="3C29F592"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646</w:t>
            </w:r>
          </w:p>
        </w:tc>
        <w:tc>
          <w:tcPr>
            <w:tcW w:w="1843" w:type="dxa"/>
            <w:vAlign w:val="center"/>
          </w:tcPr>
          <w:p w14:paraId="27A04B53" w14:textId="30BEAB3F"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309</w:t>
            </w:r>
          </w:p>
        </w:tc>
      </w:tr>
      <w:tr w:rsidR="00276C1B" w:rsidRPr="00276C1B" w14:paraId="2EED0202" w14:textId="77777777" w:rsidTr="00291327">
        <w:tc>
          <w:tcPr>
            <w:tcW w:w="2689" w:type="dxa"/>
            <w:vAlign w:val="bottom"/>
          </w:tcPr>
          <w:p w14:paraId="342F87CA" w14:textId="6B35D9C4" w:rsidR="00276C1B" w:rsidRPr="00291327" w:rsidRDefault="00276C1B" w:rsidP="00381BBA">
            <w:pPr>
              <w:widowControl/>
              <w:jc w:val="left"/>
              <w:rPr>
                <w:rFonts w:eastAsia="等线" w:cs="Times New Roman"/>
                <w:color w:val="000000"/>
                <w:sz w:val="18"/>
                <w:szCs w:val="18"/>
              </w:rPr>
            </w:pPr>
            <w:r w:rsidRPr="00291327">
              <w:rPr>
                <w:rFonts w:eastAsia="等线" w:cs="Times New Roman"/>
                <w:color w:val="000000"/>
                <w:sz w:val="18"/>
                <w:szCs w:val="18"/>
              </w:rPr>
              <w:t>Bicarbonate transporter</w:t>
            </w:r>
          </w:p>
        </w:tc>
        <w:tc>
          <w:tcPr>
            <w:tcW w:w="1701" w:type="dxa"/>
            <w:vAlign w:val="bottom"/>
          </w:tcPr>
          <w:p w14:paraId="1E792F2B" w14:textId="56F421FB"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146</w:t>
            </w:r>
          </w:p>
        </w:tc>
        <w:tc>
          <w:tcPr>
            <w:tcW w:w="1842" w:type="dxa"/>
            <w:vAlign w:val="center"/>
          </w:tcPr>
          <w:p w14:paraId="2A1355D8" w14:textId="6EC87478"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122</w:t>
            </w:r>
          </w:p>
        </w:tc>
        <w:tc>
          <w:tcPr>
            <w:tcW w:w="1276" w:type="dxa"/>
            <w:vAlign w:val="center"/>
          </w:tcPr>
          <w:p w14:paraId="6A2F4418" w14:textId="13008EEF"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812</w:t>
            </w:r>
          </w:p>
        </w:tc>
        <w:tc>
          <w:tcPr>
            <w:tcW w:w="1843" w:type="dxa"/>
            <w:vAlign w:val="center"/>
          </w:tcPr>
          <w:p w14:paraId="32543C96" w14:textId="177810F0" w:rsidR="00276C1B" w:rsidRPr="00291327" w:rsidRDefault="00276C1B" w:rsidP="00291327">
            <w:pPr>
              <w:widowControl/>
              <w:jc w:val="center"/>
              <w:rPr>
                <w:rFonts w:eastAsia="等线" w:cs="Times New Roman"/>
                <w:color w:val="000000"/>
                <w:sz w:val="18"/>
                <w:szCs w:val="18"/>
              </w:rPr>
            </w:pPr>
            <w:r w:rsidRPr="00291327">
              <w:rPr>
                <w:rFonts w:eastAsia="等线" w:cs="Times New Roman"/>
                <w:color w:val="000000"/>
                <w:sz w:val="18"/>
                <w:szCs w:val="18"/>
              </w:rPr>
              <w:t>229</w:t>
            </w:r>
          </w:p>
        </w:tc>
      </w:tr>
    </w:tbl>
    <w:p w14:paraId="7D775EA4" w14:textId="18081131" w:rsidR="00322348" w:rsidRPr="00291327" w:rsidRDefault="00322348">
      <w:pPr>
        <w:widowControl/>
        <w:jc w:val="left"/>
        <w:rPr>
          <w:rFonts w:cs="Times New Roman"/>
          <w:sz w:val="18"/>
          <w:szCs w:val="18"/>
        </w:rPr>
      </w:pPr>
      <w:r w:rsidRPr="00291327">
        <w:rPr>
          <w:rFonts w:cs="Times New Roman"/>
          <w:sz w:val="18"/>
          <w:szCs w:val="18"/>
        </w:rPr>
        <w:br w:type="page"/>
      </w:r>
    </w:p>
    <w:p w14:paraId="6776B07D" w14:textId="48249AA6" w:rsidR="00322348" w:rsidRPr="002C2F74" w:rsidRDefault="002116F5" w:rsidP="00322348">
      <w:pPr>
        <w:jc w:val="center"/>
      </w:pPr>
      <w:r w:rsidRPr="002C2F74">
        <w:rPr>
          <w:noProof/>
        </w:rPr>
        <w:lastRenderedPageBreak/>
        <w:drawing>
          <wp:inline distT="0" distB="0" distL="0" distR="0" wp14:anchorId="2510297E" wp14:editId="654674BB">
            <wp:extent cx="5731510" cy="5400040"/>
            <wp:effectExtent l="0" t="0" r="2540" b="0"/>
            <wp:docPr id="240757236" name="图片 1" descr="日程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757236" name="图片 1" descr="日程表&#10;&#10;中度可信度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5400040"/>
                    </a:xfrm>
                    <a:prstGeom prst="rect">
                      <a:avLst/>
                    </a:prstGeom>
                    <a:noFill/>
                    <a:ln>
                      <a:noFill/>
                    </a:ln>
                  </pic:spPr>
                </pic:pic>
              </a:graphicData>
            </a:graphic>
          </wp:inline>
        </w:drawing>
      </w:r>
    </w:p>
    <w:p w14:paraId="44E27068" w14:textId="3F75D5FB" w:rsidR="00F67691" w:rsidRPr="002C2F74" w:rsidRDefault="00F606E6" w:rsidP="00A163C1">
      <w:pPr>
        <w:snapToGrid w:val="0"/>
        <w:spacing w:line="276" w:lineRule="auto"/>
      </w:pPr>
      <w:r w:rsidRPr="002C2F74">
        <w:rPr>
          <w:b/>
          <w:bCs/>
        </w:rPr>
        <w:t>Figure 1</w:t>
      </w:r>
      <w:r w:rsidR="00DD2F72" w:rsidRPr="002C2F74">
        <w:rPr>
          <w:rFonts w:hint="eastAsia"/>
        </w:rPr>
        <w:t>.</w:t>
      </w:r>
      <w:r w:rsidRPr="002C2F74">
        <w:t xml:space="preserve"> Bioinformatics analysis workflow in our study. </w:t>
      </w:r>
      <w:r w:rsidR="00D240CA" w:rsidRPr="002C2F74">
        <w:rPr>
          <w:rFonts w:hint="eastAsia"/>
          <w:b/>
          <w:bCs/>
        </w:rPr>
        <w:t>A</w:t>
      </w:r>
      <w:r w:rsidRPr="002C2F74">
        <w:t xml:space="preserve">. The orange box represents data quality control criteria, including quality control of reads, filtering of rRNA reads, transcript assembly, and transcript type identification. </w:t>
      </w:r>
      <w:r w:rsidR="00D240CA" w:rsidRPr="002C2F74">
        <w:rPr>
          <w:rFonts w:hint="eastAsia"/>
          <w:b/>
          <w:bCs/>
        </w:rPr>
        <w:t>B</w:t>
      </w:r>
      <w:r w:rsidRPr="002C2F74">
        <w:t xml:space="preserve">. The green box represents the criteria for LncRNA identification and analysis, considering the relationship between a transfrag and the closest reference, transcript length, exon number, read coverage, five non-coding potential predictions, and target gene prediction. </w:t>
      </w:r>
      <w:r w:rsidR="00D240CA" w:rsidRPr="002C2F74">
        <w:rPr>
          <w:rFonts w:hint="eastAsia"/>
          <w:b/>
          <w:bCs/>
        </w:rPr>
        <w:t>C</w:t>
      </w:r>
      <w:r w:rsidRPr="002C2F74">
        <w:rPr>
          <w:b/>
          <w:bCs/>
        </w:rPr>
        <w:t>.</w:t>
      </w:r>
      <w:r w:rsidRPr="002C2F74">
        <w:t xml:space="preserve"> The blue box represents the criteria for protein-coding RNA identification and analysis, including four protein-coding potential predictions, read coverage, functional reassignment, differential transcript analysis, and functional enrichment.</w:t>
      </w:r>
    </w:p>
    <w:p w14:paraId="00AED9F4" w14:textId="4E6EAA76" w:rsidR="00F67691" w:rsidRPr="002C2F74" w:rsidRDefault="00F67691" w:rsidP="00A163C1">
      <w:pPr>
        <w:snapToGrid w:val="0"/>
        <w:spacing w:line="276" w:lineRule="auto"/>
        <w:rPr>
          <w:rFonts w:ascii="宋体" w:hAnsi="宋体" w:cs="宋体" w:hint="eastAsia"/>
        </w:rPr>
      </w:pPr>
    </w:p>
    <w:p w14:paraId="6F67FB86" w14:textId="0B9FFF26" w:rsidR="009D3152" w:rsidRPr="002C2F74" w:rsidRDefault="00275DFD" w:rsidP="00A163C1">
      <w:pPr>
        <w:snapToGrid w:val="0"/>
        <w:spacing w:line="276" w:lineRule="auto"/>
        <w:rPr>
          <w:rFonts w:ascii="宋体" w:hAnsi="宋体" w:cs="宋体" w:hint="eastAsia"/>
        </w:rPr>
      </w:pPr>
      <w:r w:rsidRPr="002C2F74">
        <w:rPr>
          <w:noProof/>
        </w:rPr>
        <w:lastRenderedPageBreak/>
        <w:drawing>
          <wp:inline distT="0" distB="0" distL="0" distR="0" wp14:anchorId="5CD177CD" wp14:editId="544E8B99">
            <wp:extent cx="5731510" cy="5290820"/>
            <wp:effectExtent l="0" t="0" r="2540" b="5080"/>
            <wp:docPr id="2062283348"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283348" name="图片 2" descr="图示&#10;&#10;描述已自动生成"/>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5290820"/>
                    </a:xfrm>
                    <a:prstGeom prst="rect">
                      <a:avLst/>
                    </a:prstGeom>
                    <a:noFill/>
                    <a:ln>
                      <a:noFill/>
                    </a:ln>
                  </pic:spPr>
                </pic:pic>
              </a:graphicData>
            </a:graphic>
          </wp:inline>
        </w:drawing>
      </w:r>
    </w:p>
    <w:p w14:paraId="0C0FDF71" w14:textId="0B01A02F" w:rsidR="00BD30B1" w:rsidRPr="002C2F74" w:rsidRDefault="00BD30B1" w:rsidP="00A163C1">
      <w:pPr>
        <w:snapToGrid w:val="0"/>
        <w:spacing w:line="276" w:lineRule="auto"/>
        <w:rPr>
          <w:rFonts w:ascii="宋体" w:hAnsi="宋体" w:cs="宋体" w:hint="eastAsia"/>
        </w:rPr>
      </w:pPr>
    </w:p>
    <w:p w14:paraId="19885AF3" w14:textId="64EE381F" w:rsidR="00AB4507" w:rsidRPr="002C2F74" w:rsidRDefault="00DD2F72" w:rsidP="00A163C1">
      <w:pPr>
        <w:snapToGrid w:val="0"/>
        <w:spacing w:line="276" w:lineRule="auto"/>
      </w:pPr>
      <w:r w:rsidRPr="002C2F74">
        <w:rPr>
          <w:b/>
          <w:bCs/>
        </w:rPr>
        <w:t>Figure 2.</w:t>
      </w:r>
      <w:r w:rsidRPr="002C2F74">
        <w:t xml:space="preserve"> Statistical characteristics of the AD dataset. </w:t>
      </w:r>
      <w:r w:rsidRPr="002C2F74">
        <w:rPr>
          <w:b/>
          <w:bCs/>
        </w:rPr>
        <w:t>A.</w:t>
      </w:r>
      <w:r w:rsidRPr="002C2F74">
        <w:t xml:space="preserve"> Distribution of reads across different genomic regions. </w:t>
      </w:r>
      <w:r w:rsidRPr="002C2F74">
        <w:rPr>
          <w:b/>
          <w:bCs/>
        </w:rPr>
        <w:t>B.</w:t>
      </w:r>
      <w:r w:rsidRPr="002C2F74">
        <w:t xml:space="preserve"> Intronic alignment rates across Normal, MCI, and AD groups. </w:t>
      </w:r>
      <w:r w:rsidRPr="002C2F74">
        <w:rPr>
          <w:b/>
          <w:bCs/>
        </w:rPr>
        <w:t xml:space="preserve">C. </w:t>
      </w:r>
      <w:r w:rsidR="00D96D00" w:rsidRPr="002C2F74">
        <w:t>Number of genes affected by five significantly different alternative splicing events in the MCI and AD groups compared to the normal group</w:t>
      </w:r>
      <w:r w:rsidRPr="002C2F74">
        <w:t xml:space="preserve">. </w:t>
      </w:r>
      <w:r w:rsidRPr="002C2F74">
        <w:rPr>
          <w:b/>
          <w:bCs/>
        </w:rPr>
        <w:t>D.</w:t>
      </w:r>
      <w:r w:rsidRPr="002C2F74">
        <w:t xml:space="preserve"> </w:t>
      </w:r>
      <w:r w:rsidR="00DF0B7B" w:rsidRPr="002C2F74">
        <w:t xml:space="preserve">Differential </w:t>
      </w:r>
      <w:r w:rsidR="00DF0B7B" w:rsidRPr="002C2F74">
        <w:rPr>
          <w:rFonts w:hint="eastAsia"/>
        </w:rPr>
        <w:t>g</w:t>
      </w:r>
      <w:r w:rsidR="00DF0B7B" w:rsidRPr="002C2F74">
        <w:t xml:space="preserve">ene </w:t>
      </w:r>
      <w:r w:rsidR="00DF0B7B" w:rsidRPr="002C2F74">
        <w:rPr>
          <w:rFonts w:hint="eastAsia"/>
        </w:rPr>
        <w:t>s</w:t>
      </w:r>
      <w:r w:rsidR="00DF0B7B" w:rsidRPr="002C2F74">
        <w:t xml:space="preserve">tatistics between MCI, AD, and Normal </w:t>
      </w:r>
      <w:r w:rsidR="00DF0B7B" w:rsidRPr="002C2F74">
        <w:rPr>
          <w:rFonts w:hint="eastAsia"/>
        </w:rPr>
        <w:t>g</w:t>
      </w:r>
      <w:r w:rsidR="00DF0B7B" w:rsidRPr="002C2F74">
        <w:t xml:space="preserve">roups with </w:t>
      </w:r>
      <w:r w:rsidR="00DF0B7B" w:rsidRPr="002C2F74">
        <w:rPr>
          <w:rFonts w:hint="eastAsia"/>
        </w:rPr>
        <w:t>s</w:t>
      </w:r>
      <w:r w:rsidR="00DF0B7B" w:rsidRPr="002C2F74">
        <w:t xml:space="preserve">ignificantly </w:t>
      </w:r>
      <w:r w:rsidR="00DF0B7B" w:rsidRPr="002C2F74">
        <w:rPr>
          <w:rFonts w:hint="eastAsia"/>
        </w:rPr>
        <w:t>d</w:t>
      </w:r>
      <w:r w:rsidR="00DF0B7B" w:rsidRPr="002C2F74">
        <w:t xml:space="preserve">ifferent </w:t>
      </w:r>
      <w:r w:rsidR="00DF0B7B" w:rsidRPr="002C2F74">
        <w:rPr>
          <w:rFonts w:hint="eastAsia"/>
        </w:rPr>
        <w:t>n</w:t>
      </w:r>
      <w:r w:rsidR="00DF0B7B" w:rsidRPr="002C2F74">
        <w:t xml:space="preserve">on-coding </w:t>
      </w:r>
      <w:r w:rsidR="00DF0B7B" w:rsidRPr="002C2F74">
        <w:rPr>
          <w:rFonts w:hint="eastAsia"/>
        </w:rPr>
        <w:t>p</w:t>
      </w:r>
      <w:r w:rsidR="00DF0B7B" w:rsidRPr="002C2F74">
        <w:t xml:space="preserve">rotein </w:t>
      </w:r>
      <w:r w:rsidR="00DF0B7B" w:rsidRPr="002C2F74">
        <w:rPr>
          <w:rFonts w:hint="eastAsia"/>
        </w:rPr>
        <w:t>g</w:t>
      </w:r>
      <w:r w:rsidR="00DF0B7B" w:rsidRPr="002C2F74">
        <w:t xml:space="preserve">enes </w:t>
      </w:r>
      <w:r w:rsidR="00DF0B7B" w:rsidRPr="002C2F74">
        <w:rPr>
          <w:rFonts w:hint="eastAsia"/>
        </w:rPr>
        <w:t>s</w:t>
      </w:r>
      <w:r w:rsidR="00DF0B7B" w:rsidRPr="002C2F74">
        <w:t xml:space="preserve">pecifically </w:t>
      </w:r>
      <w:r w:rsidR="00DF0B7B" w:rsidRPr="002C2F74">
        <w:rPr>
          <w:rFonts w:hint="eastAsia"/>
        </w:rPr>
        <w:t>l</w:t>
      </w:r>
      <w:r w:rsidR="00DF0B7B" w:rsidRPr="002C2F74">
        <w:t>abeled</w:t>
      </w:r>
      <w:r w:rsidR="00DF0B7B" w:rsidRPr="002C2F74">
        <w:rPr>
          <w:rFonts w:hint="eastAsia"/>
        </w:rPr>
        <w:t>.</w:t>
      </w:r>
      <w:r w:rsidRPr="002C2F74">
        <w:rPr>
          <w:b/>
          <w:bCs/>
        </w:rPr>
        <w:t xml:space="preserve"> F.</w:t>
      </w:r>
      <w:r w:rsidRPr="002C2F74">
        <w:t xml:space="preserve"> Composition of differential gene types across different stages in the ROSMAP and MSBB datasets.</w:t>
      </w:r>
    </w:p>
    <w:p w14:paraId="0BF01352" w14:textId="77777777" w:rsidR="00DD2F72" w:rsidRPr="002C2F74" w:rsidRDefault="00DD2F72" w:rsidP="00A163C1">
      <w:pPr>
        <w:snapToGrid w:val="0"/>
        <w:spacing w:line="276" w:lineRule="auto"/>
        <w:rPr>
          <w:rFonts w:ascii="宋体" w:hAnsi="宋体" w:cs="宋体" w:hint="eastAsia"/>
        </w:rPr>
      </w:pPr>
    </w:p>
    <w:p w14:paraId="26288A3F" w14:textId="758C795E" w:rsidR="00AB4507" w:rsidRPr="002C2F74" w:rsidRDefault="003C5272" w:rsidP="00A163C1">
      <w:pPr>
        <w:snapToGrid w:val="0"/>
        <w:spacing w:line="276" w:lineRule="auto"/>
        <w:rPr>
          <w:rFonts w:ascii="宋体" w:hAnsi="宋体" w:cs="宋体" w:hint="eastAsia"/>
        </w:rPr>
      </w:pPr>
      <w:r w:rsidRPr="002C2F74">
        <w:rPr>
          <w:noProof/>
        </w:rPr>
        <w:lastRenderedPageBreak/>
        <w:drawing>
          <wp:inline distT="0" distB="0" distL="0" distR="0" wp14:anchorId="036CB101" wp14:editId="0C87BEA9">
            <wp:extent cx="5731510" cy="5249545"/>
            <wp:effectExtent l="0" t="0" r="2540" b="8255"/>
            <wp:docPr id="546904698" name="图片 4" descr="图表, 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04698" name="图片 4" descr="图表, 图示, 示意图&#10;&#10;描述已自动生成"/>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5249545"/>
                    </a:xfrm>
                    <a:prstGeom prst="rect">
                      <a:avLst/>
                    </a:prstGeom>
                    <a:noFill/>
                    <a:ln>
                      <a:noFill/>
                    </a:ln>
                  </pic:spPr>
                </pic:pic>
              </a:graphicData>
            </a:graphic>
          </wp:inline>
        </w:drawing>
      </w:r>
    </w:p>
    <w:p w14:paraId="4BB08FFA" w14:textId="1701A865" w:rsidR="006C6629" w:rsidRPr="002C2F74" w:rsidRDefault="00F61A3F" w:rsidP="00A163C1">
      <w:pPr>
        <w:snapToGrid w:val="0"/>
        <w:spacing w:line="276" w:lineRule="auto"/>
      </w:pPr>
      <w:r w:rsidRPr="002C2F74">
        <w:rPr>
          <w:b/>
          <w:bCs/>
        </w:rPr>
        <w:t>Figure 3.</w:t>
      </w:r>
      <w:r w:rsidRPr="002C2F74">
        <w:t xml:space="preserve"> False positive and false negative rates of isoforms in the current transcriptomic datasets. </w:t>
      </w:r>
      <w:r w:rsidRPr="002C2F74">
        <w:rPr>
          <w:b/>
          <w:bCs/>
        </w:rPr>
        <w:t>A.</w:t>
      </w:r>
      <w:r w:rsidRPr="002C2F74">
        <w:t xml:space="preserve"> Improvement in identifying novel </w:t>
      </w:r>
      <w:proofErr w:type="spellStart"/>
      <w:r w:rsidRPr="002C2F74">
        <w:t>exonic</w:t>
      </w:r>
      <w:proofErr w:type="spellEnd"/>
      <w:r w:rsidRPr="002C2F74">
        <w:t xml:space="preserve">, intronic, and intergenic regions using the optimized genome annotation file compared to the GENCODE genome. </w:t>
      </w:r>
      <w:r w:rsidRPr="002C2F74">
        <w:rPr>
          <w:b/>
          <w:bCs/>
        </w:rPr>
        <w:t>B.</w:t>
      </w:r>
      <w:r w:rsidRPr="002C2F74">
        <w:t xml:space="preserve"> False positives in protein-coding transcripts, where the overlap refers to transcript names found in both GENCODE and </w:t>
      </w:r>
      <w:proofErr w:type="spellStart"/>
      <w:r w:rsidRPr="002C2F74">
        <w:t>StringTie</w:t>
      </w:r>
      <w:proofErr w:type="spellEnd"/>
      <w:r w:rsidRPr="002C2F74">
        <w:t xml:space="preserve"> annotations. </w:t>
      </w:r>
      <w:r w:rsidRPr="002C2F74">
        <w:rPr>
          <w:b/>
          <w:bCs/>
        </w:rPr>
        <w:t>C.</w:t>
      </w:r>
      <w:r w:rsidRPr="002C2F74">
        <w:t xml:space="preserve"> False negatives in protein-coding transcripts, with the overlap indicating transcript names shared between the GENCODE database and </w:t>
      </w:r>
      <w:proofErr w:type="spellStart"/>
      <w:r w:rsidRPr="002C2F74">
        <w:t>StringTie</w:t>
      </w:r>
      <w:proofErr w:type="spellEnd"/>
      <w:r w:rsidRPr="002C2F74">
        <w:t xml:space="preserve"> </w:t>
      </w:r>
      <w:proofErr w:type="gramStart"/>
      <w:r w:rsidRPr="002C2F74">
        <w:t>annotation, but</w:t>
      </w:r>
      <w:proofErr w:type="gramEnd"/>
      <w:r w:rsidRPr="002C2F74">
        <w:t xml:space="preserve"> linked to different protein-coding transcripts. </w:t>
      </w:r>
      <w:r w:rsidRPr="002C2F74">
        <w:rPr>
          <w:b/>
          <w:bCs/>
        </w:rPr>
        <w:t>D.</w:t>
      </w:r>
      <w:r w:rsidRPr="002C2F74">
        <w:t xml:space="preserve"> Proportions of differentially expressed protein-coding transcripts (DETs) in GENCODE and </w:t>
      </w:r>
      <w:proofErr w:type="spellStart"/>
      <w:r w:rsidRPr="002C2F74">
        <w:t>StringTie</w:t>
      </w:r>
      <w:proofErr w:type="spellEnd"/>
      <w:r w:rsidRPr="002C2F74">
        <w:t xml:space="preserve">. The x-axis represents the source of the protein-coding transcripts, and the y-axis shows the proportion of each transcript type. </w:t>
      </w:r>
      <w:r w:rsidR="003C5272" w:rsidRPr="002C2F74">
        <w:rPr>
          <w:rFonts w:hint="eastAsia"/>
          <w:b/>
          <w:bCs/>
        </w:rPr>
        <w:t>E.</w:t>
      </w:r>
      <w:r w:rsidR="003C5272" w:rsidRPr="002C2F74">
        <w:rPr>
          <w:rFonts w:hint="eastAsia"/>
        </w:rPr>
        <w:t xml:space="preserve"> </w:t>
      </w:r>
      <w:r w:rsidR="001361DB" w:rsidRPr="002C2F74">
        <w:t xml:space="preserve">Statistics on the number of known </w:t>
      </w:r>
      <w:proofErr w:type="spellStart"/>
      <w:r w:rsidR="001361DB" w:rsidRPr="002C2F74">
        <w:t>lncRNAs</w:t>
      </w:r>
      <w:proofErr w:type="spellEnd"/>
      <w:r w:rsidR="001361DB" w:rsidRPr="002C2F74">
        <w:t xml:space="preserve"> and newly assembled </w:t>
      </w:r>
      <w:proofErr w:type="spellStart"/>
      <w:r w:rsidR="001361DB" w:rsidRPr="002C2F74">
        <w:t>lncRNAs</w:t>
      </w:r>
      <w:proofErr w:type="spellEnd"/>
      <w:r w:rsidR="001361DB" w:rsidRPr="002C2F74">
        <w:t>.</w:t>
      </w:r>
      <w:r w:rsidR="001361DB" w:rsidRPr="002C2F74">
        <w:rPr>
          <w:rFonts w:hint="eastAsia"/>
        </w:rPr>
        <w:t xml:space="preserve"> </w:t>
      </w:r>
      <w:r w:rsidR="003C5272" w:rsidRPr="002C2F74">
        <w:rPr>
          <w:rFonts w:hint="eastAsia"/>
          <w:b/>
          <w:bCs/>
        </w:rPr>
        <w:t>F</w:t>
      </w:r>
      <w:r w:rsidRPr="002C2F74">
        <w:rPr>
          <w:b/>
          <w:bCs/>
        </w:rPr>
        <w:t xml:space="preserve">. </w:t>
      </w:r>
      <w:r w:rsidRPr="002C2F74">
        <w:t xml:space="preserve">False positives in lncRNA transcripts, where the overlap refers to transcript names present in both GENCODE and </w:t>
      </w:r>
      <w:proofErr w:type="spellStart"/>
      <w:r w:rsidRPr="002C2F74">
        <w:t>StringTie</w:t>
      </w:r>
      <w:proofErr w:type="spellEnd"/>
      <w:r w:rsidRPr="002C2F74">
        <w:t xml:space="preserve"> annotations.</w:t>
      </w:r>
    </w:p>
    <w:p w14:paraId="080ED668" w14:textId="77777777" w:rsidR="00022779" w:rsidRPr="002C2F74" w:rsidRDefault="00022779" w:rsidP="00A163C1">
      <w:pPr>
        <w:snapToGrid w:val="0"/>
        <w:spacing w:line="276" w:lineRule="auto"/>
        <w:rPr>
          <w:rFonts w:ascii="宋体" w:hAnsi="宋体" w:cs="宋体" w:hint="eastAsia"/>
        </w:rPr>
      </w:pPr>
    </w:p>
    <w:p w14:paraId="1B5E038D" w14:textId="460E2210" w:rsidR="00022779" w:rsidRPr="002C2F74" w:rsidRDefault="00A436EF" w:rsidP="00A163C1">
      <w:pPr>
        <w:snapToGrid w:val="0"/>
        <w:spacing w:line="276" w:lineRule="auto"/>
        <w:rPr>
          <w:rFonts w:ascii="宋体" w:hAnsi="宋体" w:cs="宋体" w:hint="eastAsia"/>
        </w:rPr>
      </w:pPr>
      <w:r w:rsidRPr="002C2F74">
        <w:rPr>
          <w:noProof/>
        </w:rPr>
        <w:lastRenderedPageBreak/>
        <w:drawing>
          <wp:inline distT="0" distB="0" distL="0" distR="0" wp14:anchorId="3E7101BF" wp14:editId="49B4743C">
            <wp:extent cx="5731510" cy="5032375"/>
            <wp:effectExtent l="0" t="0" r="2540" b="0"/>
            <wp:docPr id="1520056680" name="图片 5" descr="图表, 箱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56680" name="图片 5" descr="图表, 箱线图&#10;&#10;描述已自动生成"/>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032375"/>
                    </a:xfrm>
                    <a:prstGeom prst="rect">
                      <a:avLst/>
                    </a:prstGeom>
                    <a:noFill/>
                    <a:ln>
                      <a:noFill/>
                    </a:ln>
                  </pic:spPr>
                </pic:pic>
              </a:graphicData>
            </a:graphic>
          </wp:inline>
        </w:drawing>
      </w:r>
    </w:p>
    <w:p w14:paraId="7F2CB52E" w14:textId="330FB300" w:rsidR="008513F5" w:rsidRDefault="002A54D5" w:rsidP="00A163C1">
      <w:pPr>
        <w:snapToGrid w:val="0"/>
        <w:spacing w:line="276" w:lineRule="auto"/>
      </w:pPr>
      <w:r w:rsidRPr="002C2F74">
        <w:rPr>
          <w:b/>
          <w:bCs/>
        </w:rPr>
        <w:t xml:space="preserve">Figure 4. </w:t>
      </w:r>
      <w:r w:rsidRPr="002C2F74">
        <w:t xml:space="preserve">Functional validation of the new framework. </w:t>
      </w:r>
      <w:r w:rsidRPr="002C2F74">
        <w:rPr>
          <w:b/>
          <w:bCs/>
        </w:rPr>
        <w:t>A.</w:t>
      </w:r>
      <w:r w:rsidRPr="002C2F74">
        <w:t xml:space="preserve"> Enrichment results of amyloid formation-associated transcripts under the new framework. </w:t>
      </w:r>
      <w:r w:rsidRPr="002C2F74">
        <w:rPr>
          <w:b/>
          <w:bCs/>
        </w:rPr>
        <w:t xml:space="preserve">B. </w:t>
      </w:r>
      <w:r w:rsidRPr="002C2F74">
        <w:t xml:space="preserve">AUC evaluation of amyloid formation-related transcripts using GENCODE and </w:t>
      </w:r>
      <w:proofErr w:type="spellStart"/>
      <w:r w:rsidRPr="002C2F74">
        <w:t>StringTie</w:t>
      </w:r>
      <w:proofErr w:type="spellEnd"/>
      <w:r w:rsidRPr="002C2F74">
        <w:t xml:space="preserve">. </w:t>
      </w:r>
      <w:r w:rsidRPr="002C2F74">
        <w:rPr>
          <w:b/>
          <w:bCs/>
        </w:rPr>
        <w:t xml:space="preserve">C. </w:t>
      </w:r>
      <w:r w:rsidRPr="002C2F74">
        <w:t xml:space="preserve">Evaluation of intracellular alkalosis under the new framework. </w:t>
      </w:r>
      <w:r w:rsidRPr="002C2F74">
        <w:rPr>
          <w:b/>
          <w:bCs/>
        </w:rPr>
        <w:t>D.</w:t>
      </w:r>
      <w:r w:rsidRPr="002C2F74">
        <w:t xml:space="preserve"> Assessment of extracellular acidosis under the new framework. </w:t>
      </w:r>
      <w:r w:rsidRPr="002C2F74">
        <w:rPr>
          <w:b/>
          <w:bCs/>
        </w:rPr>
        <w:t xml:space="preserve">E. </w:t>
      </w:r>
      <w:r w:rsidRPr="002C2F74">
        <w:t>Evaluation of mitochondrial iron accumulation under the new framework.</w:t>
      </w:r>
    </w:p>
    <w:p w14:paraId="3C4C8F01" w14:textId="77777777" w:rsidR="003055D0" w:rsidRDefault="003055D0" w:rsidP="00A163C1">
      <w:pPr>
        <w:snapToGrid w:val="0"/>
        <w:spacing w:line="276" w:lineRule="auto"/>
      </w:pPr>
    </w:p>
    <w:p w14:paraId="5213BC6A" w14:textId="0F029D6E" w:rsidR="00AA66EB" w:rsidRPr="005369F0" w:rsidRDefault="00AA66EB" w:rsidP="00A163C1">
      <w:pPr>
        <w:snapToGrid w:val="0"/>
        <w:spacing w:line="276" w:lineRule="auto"/>
        <w:rPr>
          <w:rFonts w:ascii="宋体" w:hAnsi="宋体" w:cs="宋体" w:hint="eastAsia"/>
        </w:rPr>
      </w:pPr>
    </w:p>
    <w:sectPr w:rsidR="00AA66EB" w:rsidRPr="005369F0" w:rsidSect="00A163C1">
      <w:footerReference w:type="even" r:id="rId14"/>
      <w:footerReference w:type="default" r:id="rId15"/>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BE9EEC8" w14:textId="77777777" w:rsidR="00F03718" w:rsidRDefault="00F03718" w:rsidP="007737B8">
      <w:r>
        <w:separator/>
      </w:r>
    </w:p>
  </w:endnote>
  <w:endnote w:type="continuationSeparator" w:id="0">
    <w:p w14:paraId="5B3B2842" w14:textId="77777777" w:rsidR="00F03718" w:rsidRDefault="00F03718" w:rsidP="007737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Palatino Linotype">
    <w:panose1 w:val="02040502050505030304"/>
    <w:charset w:val="00"/>
    <w:family w:val="roman"/>
    <w:pitch w:val="variable"/>
    <w:sig w:usb0="E0000287" w:usb1="40000013" w:usb2="00000000" w:usb3="00000000" w:csb0="0000019F" w:csb1="00000000"/>
  </w:font>
  <w:font w:name="微软雅黑">
    <w:altName w:val="Microsoft YaHei"/>
    <w:panose1 w:val="020B0503020204020204"/>
    <w:charset w:val="86"/>
    <w:family w:val="swiss"/>
    <w:pitch w:val="variable"/>
    <w:sig w:usb0="80000287" w:usb1="2ACF3C50" w:usb2="00000016" w:usb3="00000000" w:csb0="0004001F" w:csb1="00000000"/>
  </w:font>
  <w:font w:name="PingFang SC">
    <w:altName w:val="微软雅黑"/>
    <w:charset w:val="86"/>
    <w:family w:val="swiss"/>
    <w:pitch w:val="variable"/>
    <w:sig w:usb0="A00002FF" w:usb1="7ACFFDFB" w:usb2="00000017"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e"/>
      </w:rPr>
      <w:id w:val="-976060875"/>
      <w:docPartObj>
        <w:docPartGallery w:val="Page Numbers (Bottom of Page)"/>
        <w:docPartUnique/>
      </w:docPartObj>
    </w:sdtPr>
    <w:sdtContent>
      <w:p w14:paraId="31852D4F" w14:textId="6430C2BC" w:rsidR="00063434" w:rsidRDefault="00063434" w:rsidP="00926139">
        <w:pPr>
          <w:pStyle w:val="af8"/>
          <w:framePr w:wrap="none" w:vAnchor="text" w:hAnchor="margin" w:xAlign="right" w:y="1"/>
          <w:rPr>
            <w:rStyle w:val="afe"/>
          </w:rPr>
        </w:pPr>
        <w:r>
          <w:rPr>
            <w:rStyle w:val="afe"/>
          </w:rPr>
          <w:fldChar w:fldCharType="begin"/>
        </w:r>
        <w:r>
          <w:rPr>
            <w:rStyle w:val="afe"/>
          </w:rPr>
          <w:instrText xml:space="preserve"> PAGE </w:instrText>
        </w:r>
        <w:r>
          <w:rPr>
            <w:rStyle w:val="afe"/>
          </w:rPr>
          <w:fldChar w:fldCharType="end"/>
        </w:r>
      </w:p>
    </w:sdtContent>
  </w:sdt>
  <w:p w14:paraId="51291E88" w14:textId="77777777" w:rsidR="00063434" w:rsidRDefault="00063434" w:rsidP="00832524">
    <w:pPr>
      <w:pStyle w:val="af8"/>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afe"/>
      </w:rPr>
      <w:id w:val="1463842855"/>
      <w:docPartObj>
        <w:docPartGallery w:val="Page Numbers (Bottom of Page)"/>
        <w:docPartUnique/>
      </w:docPartObj>
    </w:sdtPr>
    <w:sdtContent>
      <w:p w14:paraId="0A9F0C0E" w14:textId="30F79650" w:rsidR="00063434" w:rsidRDefault="00063434" w:rsidP="00926139">
        <w:pPr>
          <w:pStyle w:val="af8"/>
          <w:framePr w:wrap="none" w:vAnchor="text" w:hAnchor="margin" w:xAlign="right" w:y="1"/>
          <w:rPr>
            <w:rStyle w:val="afe"/>
          </w:rPr>
        </w:pPr>
        <w:r>
          <w:rPr>
            <w:rStyle w:val="afe"/>
          </w:rPr>
          <w:fldChar w:fldCharType="begin"/>
        </w:r>
        <w:r>
          <w:rPr>
            <w:rStyle w:val="afe"/>
          </w:rPr>
          <w:instrText xml:space="preserve"> PAGE </w:instrText>
        </w:r>
        <w:r>
          <w:rPr>
            <w:rStyle w:val="afe"/>
          </w:rPr>
          <w:fldChar w:fldCharType="separate"/>
        </w:r>
        <w:r>
          <w:rPr>
            <w:rStyle w:val="afe"/>
            <w:noProof/>
          </w:rPr>
          <w:t>1</w:t>
        </w:r>
        <w:r>
          <w:rPr>
            <w:rStyle w:val="afe"/>
          </w:rPr>
          <w:fldChar w:fldCharType="end"/>
        </w:r>
      </w:p>
    </w:sdtContent>
  </w:sdt>
  <w:p w14:paraId="305A1331" w14:textId="77777777" w:rsidR="00063434" w:rsidRDefault="00063434" w:rsidP="00832524">
    <w:pPr>
      <w:pStyle w:val="af8"/>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C85DEC" w14:textId="77777777" w:rsidR="00F03718" w:rsidRDefault="00F03718" w:rsidP="007737B8">
      <w:r>
        <w:separator/>
      </w:r>
    </w:p>
  </w:footnote>
  <w:footnote w:type="continuationSeparator" w:id="0">
    <w:p w14:paraId="1940B3C6" w14:textId="77777777" w:rsidR="00F03718" w:rsidRDefault="00F03718" w:rsidP="007737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C6F43"/>
    <w:multiLevelType w:val="multilevel"/>
    <w:tmpl w:val="52C49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9B7046"/>
    <w:multiLevelType w:val="hybridMultilevel"/>
    <w:tmpl w:val="5992B178"/>
    <w:lvl w:ilvl="0" w:tplc="A27274B8">
      <w:start w:val="1"/>
      <w:numFmt w:val="decimal"/>
      <w:lvlText w:val="(%1)"/>
      <w:lvlJc w:val="left"/>
      <w:pPr>
        <w:ind w:left="360" w:hanging="360"/>
      </w:pPr>
      <w:rPr>
        <w:rFonts w:eastAsia="等线" w:hint="default"/>
        <w:b/>
        <w:color w:val="000000"/>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6115B18"/>
    <w:multiLevelType w:val="hybridMultilevel"/>
    <w:tmpl w:val="220C8524"/>
    <w:lvl w:ilvl="0" w:tplc="5A68C116">
      <w:start w:val="3"/>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F362F91"/>
    <w:multiLevelType w:val="hybridMultilevel"/>
    <w:tmpl w:val="7BD8A98C"/>
    <w:lvl w:ilvl="0" w:tplc="1A6AD838">
      <w:start w:val="1"/>
      <w:numFmt w:val="decimal"/>
      <w:lvlText w:val="%1."/>
      <w:lvlJc w:val="left"/>
      <w:pPr>
        <w:ind w:left="360" w:hanging="360"/>
      </w:pPr>
      <w:rPr>
        <w:rFonts w:hint="default"/>
        <w:b/>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0F87728B"/>
    <w:multiLevelType w:val="multilevel"/>
    <w:tmpl w:val="FECC5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5A4C9A"/>
    <w:multiLevelType w:val="hybridMultilevel"/>
    <w:tmpl w:val="0B1C9290"/>
    <w:lvl w:ilvl="0" w:tplc="FFFFFFFF">
      <w:start w:val="1"/>
      <w:numFmt w:val="decimal"/>
      <w:lvlText w:val="%1."/>
      <w:lvlJc w:val="left"/>
      <w:pPr>
        <w:ind w:left="780" w:hanging="360"/>
      </w:pPr>
      <w:rPr>
        <w:rFonts w:hint="default"/>
      </w:rPr>
    </w:lvl>
    <w:lvl w:ilvl="1" w:tplc="FFFFFFFF" w:tentative="1">
      <w:start w:val="1"/>
      <w:numFmt w:val="lowerLetter"/>
      <w:lvlText w:val="%2)"/>
      <w:lvlJc w:val="left"/>
      <w:pPr>
        <w:ind w:left="1300" w:hanging="440"/>
      </w:pPr>
    </w:lvl>
    <w:lvl w:ilvl="2" w:tplc="FFFFFFFF" w:tentative="1">
      <w:start w:val="1"/>
      <w:numFmt w:val="lowerRoman"/>
      <w:lvlText w:val="%3."/>
      <w:lvlJc w:val="right"/>
      <w:pPr>
        <w:ind w:left="1740" w:hanging="440"/>
      </w:pPr>
    </w:lvl>
    <w:lvl w:ilvl="3" w:tplc="FFFFFFFF" w:tentative="1">
      <w:start w:val="1"/>
      <w:numFmt w:val="decimal"/>
      <w:lvlText w:val="%4."/>
      <w:lvlJc w:val="left"/>
      <w:pPr>
        <w:ind w:left="2180" w:hanging="440"/>
      </w:pPr>
    </w:lvl>
    <w:lvl w:ilvl="4" w:tplc="FFFFFFFF" w:tentative="1">
      <w:start w:val="1"/>
      <w:numFmt w:val="lowerLetter"/>
      <w:lvlText w:val="%5)"/>
      <w:lvlJc w:val="left"/>
      <w:pPr>
        <w:ind w:left="2620" w:hanging="440"/>
      </w:pPr>
    </w:lvl>
    <w:lvl w:ilvl="5" w:tplc="FFFFFFFF" w:tentative="1">
      <w:start w:val="1"/>
      <w:numFmt w:val="lowerRoman"/>
      <w:lvlText w:val="%6."/>
      <w:lvlJc w:val="right"/>
      <w:pPr>
        <w:ind w:left="3060" w:hanging="440"/>
      </w:pPr>
    </w:lvl>
    <w:lvl w:ilvl="6" w:tplc="FFFFFFFF" w:tentative="1">
      <w:start w:val="1"/>
      <w:numFmt w:val="decimal"/>
      <w:lvlText w:val="%7."/>
      <w:lvlJc w:val="left"/>
      <w:pPr>
        <w:ind w:left="3500" w:hanging="440"/>
      </w:pPr>
    </w:lvl>
    <w:lvl w:ilvl="7" w:tplc="FFFFFFFF" w:tentative="1">
      <w:start w:val="1"/>
      <w:numFmt w:val="lowerLetter"/>
      <w:lvlText w:val="%8)"/>
      <w:lvlJc w:val="left"/>
      <w:pPr>
        <w:ind w:left="3940" w:hanging="440"/>
      </w:pPr>
    </w:lvl>
    <w:lvl w:ilvl="8" w:tplc="FFFFFFFF" w:tentative="1">
      <w:start w:val="1"/>
      <w:numFmt w:val="lowerRoman"/>
      <w:lvlText w:val="%9."/>
      <w:lvlJc w:val="right"/>
      <w:pPr>
        <w:ind w:left="4380" w:hanging="440"/>
      </w:pPr>
    </w:lvl>
  </w:abstractNum>
  <w:abstractNum w:abstractNumId="6" w15:restartNumberingAfterBreak="0">
    <w:nsid w:val="263D1931"/>
    <w:multiLevelType w:val="hybridMultilevel"/>
    <w:tmpl w:val="D40662D2"/>
    <w:lvl w:ilvl="0" w:tplc="5D1EA768">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6103FDF"/>
    <w:multiLevelType w:val="hybridMultilevel"/>
    <w:tmpl w:val="AFBC609C"/>
    <w:lvl w:ilvl="0" w:tplc="9790D9CA">
      <w:start w:val="1"/>
      <w:numFmt w:val="decimal"/>
      <w:lvlText w:val="%1."/>
      <w:lvlJc w:val="left"/>
      <w:pPr>
        <w:ind w:left="360" w:hanging="360"/>
      </w:pPr>
      <w:rPr>
        <w:rFonts w:eastAsia="Times New Roman" w:hint="default"/>
      </w:rPr>
    </w:lvl>
    <w:lvl w:ilvl="1" w:tplc="04090019">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36604D88"/>
    <w:multiLevelType w:val="multilevel"/>
    <w:tmpl w:val="3DE85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0EA1BB4"/>
    <w:multiLevelType w:val="multilevel"/>
    <w:tmpl w:val="DDBE3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2C6B29"/>
    <w:multiLevelType w:val="hybridMultilevel"/>
    <w:tmpl w:val="393AE182"/>
    <w:lvl w:ilvl="0" w:tplc="12A0C43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434D1C7C"/>
    <w:multiLevelType w:val="multilevel"/>
    <w:tmpl w:val="0DFE3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F646A0"/>
    <w:multiLevelType w:val="hybridMultilevel"/>
    <w:tmpl w:val="56DCA520"/>
    <w:lvl w:ilvl="0" w:tplc="44EECB52">
      <w:start w:val="1"/>
      <w:numFmt w:val="bullet"/>
      <w:lvlText w:val=""/>
      <w:lvlJc w:val="left"/>
      <w:pPr>
        <w:tabs>
          <w:tab w:val="num" w:pos="720"/>
        </w:tabs>
        <w:ind w:left="720" w:hanging="360"/>
      </w:pPr>
      <w:rPr>
        <w:rFonts w:ascii="Wingdings" w:hAnsi="Wingdings" w:hint="default"/>
      </w:rPr>
    </w:lvl>
    <w:lvl w:ilvl="1" w:tplc="A52CFD48">
      <w:start w:val="1"/>
      <w:numFmt w:val="bullet"/>
      <w:lvlText w:val=""/>
      <w:lvlJc w:val="left"/>
      <w:pPr>
        <w:tabs>
          <w:tab w:val="num" w:pos="1440"/>
        </w:tabs>
        <w:ind w:left="1440" w:hanging="360"/>
      </w:pPr>
      <w:rPr>
        <w:rFonts w:ascii="Wingdings" w:hAnsi="Wingdings" w:hint="default"/>
      </w:rPr>
    </w:lvl>
    <w:lvl w:ilvl="2" w:tplc="3E42DD98" w:tentative="1">
      <w:start w:val="1"/>
      <w:numFmt w:val="bullet"/>
      <w:lvlText w:val=""/>
      <w:lvlJc w:val="left"/>
      <w:pPr>
        <w:tabs>
          <w:tab w:val="num" w:pos="2160"/>
        </w:tabs>
        <w:ind w:left="2160" w:hanging="360"/>
      </w:pPr>
      <w:rPr>
        <w:rFonts w:ascii="Wingdings" w:hAnsi="Wingdings" w:hint="default"/>
      </w:rPr>
    </w:lvl>
    <w:lvl w:ilvl="3" w:tplc="CE7ACC4E" w:tentative="1">
      <w:start w:val="1"/>
      <w:numFmt w:val="bullet"/>
      <w:lvlText w:val=""/>
      <w:lvlJc w:val="left"/>
      <w:pPr>
        <w:tabs>
          <w:tab w:val="num" w:pos="2880"/>
        </w:tabs>
        <w:ind w:left="2880" w:hanging="360"/>
      </w:pPr>
      <w:rPr>
        <w:rFonts w:ascii="Wingdings" w:hAnsi="Wingdings" w:hint="default"/>
      </w:rPr>
    </w:lvl>
    <w:lvl w:ilvl="4" w:tplc="6D78089A" w:tentative="1">
      <w:start w:val="1"/>
      <w:numFmt w:val="bullet"/>
      <w:lvlText w:val=""/>
      <w:lvlJc w:val="left"/>
      <w:pPr>
        <w:tabs>
          <w:tab w:val="num" w:pos="3600"/>
        </w:tabs>
        <w:ind w:left="3600" w:hanging="360"/>
      </w:pPr>
      <w:rPr>
        <w:rFonts w:ascii="Wingdings" w:hAnsi="Wingdings" w:hint="default"/>
      </w:rPr>
    </w:lvl>
    <w:lvl w:ilvl="5" w:tplc="687614AE" w:tentative="1">
      <w:start w:val="1"/>
      <w:numFmt w:val="bullet"/>
      <w:lvlText w:val=""/>
      <w:lvlJc w:val="left"/>
      <w:pPr>
        <w:tabs>
          <w:tab w:val="num" w:pos="4320"/>
        </w:tabs>
        <w:ind w:left="4320" w:hanging="360"/>
      </w:pPr>
      <w:rPr>
        <w:rFonts w:ascii="Wingdings" w:hAnsi="Wingdings" w:hint="default"/>
      </w:rPr>
    </w:lvl>
    <w:lvl w:ilvl="6" w:tplc="94C85ADA" w:tentative="1">
      <w:start w:val="1"/>
      <w:numFmt w:val="bullet"/>
      <w:lvlText w:val=""/>
      <w:lvlJc w:val="left"/>
      <w:pPr>
        <w:tabs>
          <w:tab w:val="num" w:pos="5040"/>
        </w:tabs>
        <w:ind w:left="5040" w:hanging="360"/>
      </w:pPr>
      <w:rPr>
        <w:rFonts w:ascii="Wingdings" w:hAnsi="Wingdings" w:hint="default"/>
      </w:rPr>
    </w:lvl>
    <w:lvl w:ilvl="7" w:tplc="FA728772" w:tentative="1">
      <w:start w:val="1"/>
      <w:numFmt w:val="bullet"/>
      <w:lvlText w:val=""/>
      <w:lvlJc w:val="left"/>
      <w:pPr>
        <w:tabs>
          <w:tab w:val="num" w:pos="5760"/>
        </w:tabs>
        <w:ind w:left="5760" w:hanging="360"/>
      </w:pPr>
      <w:rPr>
        <w:rFonts w:ascii="Wingdings" w:hAnsi="Wingdings" w:hint="default"/>
      </w:rPr>
    </w:lvl>
    <w:lvl w:ilvl="8" w:tplc="9304A836"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5DA41C68"/>
    <w:multiLevelType w:val="hybridMultilevel"/>
    <w:tmpl w:val="23B8CD88"/>
    <w:lvl w:ilvl="0" w:tplc="73748AD2">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4" w15:restartNumberingAfterBreak="0">
    <w:nsid w:val="5F144F9C"/>
    <w:multiLevelType w:val="hybridMultilevel"/>
    <w:tmpl w:val="D04A5194"/>
    <w:lvl w:ilvl="0" w:tplc="A2565F4E">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5" w15:restartNumberingAfterBreak="0">
    <w:nsid w:val="62117FB7"/>
    <w:multiLevelType w:val="hybridMultilevel"/>
    <w:tmpl w:val="4F863A42"/>
    <w:lvl w:ilvl="0" w:tplc="0E82070A">
      <w:start w:val="2"/>
      <w:numFmt w:val="decimal"/>
      <w:lvlText w:val="%1."/>
      <w:lvlJc w:val="left"/>
      <w:pPr>
        <w:ind w:left="360" w:hanging="360"/>
      </w:pPr>
      <w:rPr>
        <w:rFonts w:eastAsia="宋体"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6" w15:restartNumberingAfterBreak="0">
    <w:nsid w:val="6804293B"/>
    <w:multiLevelType w:val="multilevel"/>
    <w:tmpl w:val="112AC2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7B31CF"/>
    <w:multiLevelType w:val="multilevel"/>
    <w:tmpl w:val="0C3810C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6EE64FB5"/>
    <w:multiLevelType w:val="hybridMultilevel"/>
    <w:tmpl w:val="17E87722"/>
    <w:lvl w:ilvl="0" w:tplc="CC521D10">
      <w:start w:val="1"/>
      <w:numFmt w:val="bullet"/>
      <w:lvlText w:val=""/>
      <w:lvlJc w:val="left"/>
      <w:pPr>
        <w:tabs>
          <w:tab w:val="num" w:pos="720"/>
        </w:tabs>
        <w:ind w:left="720" w:hanging="360"/>
      </w:pPr>
      <w:rPr>
        <w:rFonts w:ascii="Wingdings" w:hAnsi="Wingdings" w:hint="default"/>
      </w:rPr>
    </w:lvl>
    <w:lvl w:ilvl="1" w:tplc="6AF6E670">
      <w:start w:val="1"/>
      <w:numFmt w:val="bullet"/>
      <w:lvlText w:val=""/>
      <w:lvlJc w:val="left"/>
      <w:pPr>
        <w:tabs>
          <w:tab w:val="num" w:pos="1440"/>
        </w:tabs>
        <w:ind w:left="1440" w:hanging="360"/>
      </w:pPr>
      <w:rPr>
        <w:rFonts w:ascii="Wingdings" w:hAnsi="Wingdings" w:hint="default"/>
      </w:rPr>
    </w:lvl>
    <w:lvl w:ilvl="2" w:tplc="EE027272" w:tentative="1">
      <w:start w:val="1"/>
      <w:numFmt w:val="bullet"/>
      <w:lvlText w:val=""/>
      <w:lvlJc w:val="left"/>
      <w:pPr>
        <w:tabs>
          <w:tab w:val="num" w:pos="2160"/>
        </w:tabs>
        <w:ind w:left="2160" w:hanging="360"/>
      </w:pPr>
      <w:rPr>
        <w:rFonts w:ascii="Wingdings" w:hAnsi="Wingdings" w:hint="default"/>
      </w:rPr>
    </w:lvl>
    <w:lvl w:ilvl="3" w:tplc="09426B5E" w:tentative="1">
      <w:start w:val="1"/>
      <w:numFmt w:val="bullet"/>
      <w:lvlText w:val=""/>
      <w:lvlJc w:val="left"/>
      <w:pPr>
        <w:tabs>
          <w:tab w:val="num" w:pos="2880"/>
        </w:tabs>
        <w:ind w:left="2880" w:hanging="360"/>
      </w:pPr>
      <w:rPr>
        <w:rFonts w:ascii="Wingdings" w:hAnsi="Wingdings" w:hint="default"/>
      </w:rPr>
    </w:lvl>
    <w:lvl w:ilvl="4" w:tplc="6FB87888" w:tentative="1">
      <w:start w:val="1"/>
      <w:numFmt w:val="bullet"/>
      <w:lvlText w:val=""/>
      <w:lvlJc w:val="left"/>
      <w:pPr>
        <w:tabs>
          <w:tab w:val="num" w:pos="3600"/>
        </w:tabs>
        <w:ind w:left="3600" w:hanging="360"/>
      </w:pPr>
      <w:rPr>
        <w:rFonts w:ascii="Wingdings" w:hAnsi="Wingdings" w:hint="default"/>
      </w:rPr>
    </w:lvl>
    <w:lvl w:ilvl="5" w:tplc="884652CE" w:tentative="1">
      <w:start w:val="1"/>
      <w:numFmt w:val="bullet"/>
      <w:lvlText w:val=""/>
      <w:lvlJc w:val="left"/>
      <w:pPr>
        <w:tabs>
          <w:tab w:val="num" w:pos="4320"/>
        </w:tabs>
        <w:ind w:left="4320" w:hanging="360"/>
      </w:pPr>
      <w:rPr>
        <w:rFonts w:ascii="Wingdings" w:hAnsi="Wingdings" w:hint="default"/>
      </w:rPr>
    </w:lvl>
    <w:lvl w:ilvl="6" w:tplc="0DC8229C" w:tentative="1">
      <w:start w:val="1"/>
      <w:numFmt w:val="bullet"/>
      <w:lvlText w:val=""/>
      <w:lvlJc w:val="left"/>
      <w:pPr>
        <w:tabs>
          <w:tab w:val="num" w:pos="5040"/>
        </w:tabs>
        <w:ind w:left="5040" w:hanging="360"/>
      </w:pPr>
      <w:rPr>
        <w:rFonts w:ascii="Wingdings" w:hAnsi="Wingdings" w:hint="default"/>
      </w:rPr>
    </w:lvl>
    <w:lvl w:ilvl="7" w:tplc="3B44F3AC" w:tentative="1">
      <w:start w:val="1"/>
      <w:numFmt w:val="bullet"/>
      <w:lvlText w:val=""/>
      <w:lvlJc w:val="left"/>
      <w:pPr>
        <w:tabs>
          <w:tab w:val="num" w:pos="5760"/>
        </w:tabs>
        <w:ind w:left="5760" w:hanging="360"/>
      </w:pPr>
      <w:rPr>
        <w:rFonts w:ascii="Wingdings" w:hAnsi="Wingdings" w:hint="default"/>
      </w:rPr>
    </w:lvl>
    <w:lvl w:ilvl="8" w:tplc="9618B858"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70BD6495"/>
    <w:multiLevelType w:val="hybridMultilevel"/>
    <w:tmpl w:val="F1B8B752"/>
    <w:lvl w:ilvl="0" w:tplc="4932723C">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0" w15:restartNumberingAfterBreak="0">
    <w:nsid w:val="76394167"/>
    <w:multiLevelType w:val="multilevel"/>
    <w:tmpl w:val="9E325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B8169AC"/>
    <w:multiLevelType w:val="hybridMultilevel"/>
    <w:tmpl w:val="61DEEFF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7CED6AC2"/>
    <w:multiLevelType w:val="hybridMultilevel"/>
    <w:tmpl w:val="B7E0AC7E"/>
    <w:lvl w:ilvl="0" w:tplc="FE4AE668">
      <w:start w:val="1"/>
      <w:numFmt w:val="bullet"/>
      <w:lvlText w:val=""/>
      <w:lvlJc w:val="left"/>
      <w:pPr>
        <w:tabs>
          <w:tab w:val="num" w:pos="720"/>
        </w:tabs>
        <w:ind w:left="720" w:hanging="360"/>
      </w:pPr>
      <w:rPr>
        <w:rFonts w:ascii="Wingdings" w:hAnsi="Wingdings" w:hint="default"/>
      </w:rPr>
    </w:lvl>
    <w:lvl w:ilvl="1" w:tplc="DC9A78BA">
      <w:start w:val="1"/>
      <w:numFmt w:val="bullet"/>
      <w:lvlText w:val=""/>
      <w:lvlJc w:val="left"/>
      <w:pPr>
        <w:tabs>
          <w:tab w:val="num" w:pos="1440"/>
        </w:tabs>
        <w:ind w:left="1440" w:hanging="360"/>
      </w:pPr>
      <w:rPr>
        <w:rFonts w:ascii="Wingdings" w:hAnsi="Wingdings" w:hint="default"/>
      </w:rPr>
    </w:lvl>
    <w:lvl w:ilvl="2" w:tplc="0E4CB50A" w:tentative="1">
      <w:start w:val="1"/>
      <w:numFmt w:val="bullet"/>
      <w:lvlText w:val=""/>
      <w:lvlJc w:val="left"/>
      <w:pPr>
        <w:tabs>
          <w:tab w:val="num" w:pos="2160"/>
        </w:tabs>
        <w:ind w:left="2160" w:hanging="360"/>
      </w:pPr>
      <w:rPr>
        <w:rFonts w:ascii="Wingdings" w:hAnsi="Wingdings" w:hint="default"/>
      </w:rPr>
    </w:lvl>
    <w:lvl w:ilvl="3" w:tplc="BA76CA3C" w:tentative="1">
      <w:start w:val="1"/>
      <w:numFmt w:val="bullet"/>
      <w:lvlText w:val=""/>
      <w:lvlJc w:val="left"/>
      <w:pPr>
        <w:tabs>
          <w:tab w:val="num" w:pos="2880"/>
        </w:tabs>
        <w:ind w:left="2880" w:hanging="360"/>
      </w:pPr>
      <w:rPr>
        <w:rFonts w:ascii="Wingdings" w:hAnsi="Wingdings" w:hint="default"/>
      </w:rPr>
    </w:lvl>
    <w:lvl w:ilvl="4" w:tplc="FC68CCC6" w:tentative="1">
      <w:start w:val="1"/>
      <w:numFmt w:val="bullet"/>
      <w:lvlText w:val=""/>
      <w:lvlJc w:val="left"/>
      <w:pPr>
        <w:tabs>
          <w:tab w:val="num" w:pos="3600"/>
        </w:tabs>
        <w:ind w:left="3600" w:hanging="360"/>
      </w:pPr>
      <w:rPr>
        <w:rFonts w:ascii="Wingdings" w:hAnsi="Wingdings" w:hint="default"/>
      </w:rPr>
    </w:lvl>
    <w:lvl w:ilvl="5" w:tplc="59FEDAE0" w:tentative="1">
      <w:start w:val="1"/>
      <w:numFmt w:val="bullet"/>
      <w:lvlText w:val=""/>
      <w:lvlJc w:val="left"/>
      <w:pPr>
        <w:tabs>
          <w:tab w:val="num" w:pos="4320"/>
        </w:tabs>
        <w:ind w:left="4320" w:hanging="360"/>
      </w:pPr>
      <w:rPr>
        <w:rFonts w:ascii="Wingdings" w:hAnsi="Wingdings" w:hint="default"/>
      </w:rPr>
    </w:lvl>
    <w:lvl w:ilvl="6" w:tplc="45B0FDFC" w:tentative="1">
      <w:start w:val="1"/>
      <w:numFmt w:val="bullet"/>
      <w:lvlText w:val=""/>
      <w:lvlJc w:val="left"/>
      <w:pPr>
        <w:tabs>
          <w:tab w:val="num" w:pos="5040"/>
        </w:tabs>
        <w:ind w:left="5040" w:hanging="360"/>
      </w:pPr>
      <w:rPr>
        <w:rFonts w:ascii="Wingdings" w:hAnsi="Wingdings" w:hint="default"/>
      </w:rPr>
    </w:lvl>
    <w:lvl w:ilvl="7" w:tplc="6E7E3D10" w:tentative="1">
      <w:start w:val="1"/>
      <w:numFmt w:val="bullet"/>
      <w:lvlText w:val=""/>
      <w:lvlJc w:val="left"/>
      <w:pPr>
        <w:tabs>
          <w:tab w:val="num" w:pos="5760"/>
        </w:tabs>
        <w:ind w:left="5760" w:hanging="360"/>
      </w:pPr>
      <w:rPr>
        <w:rFonts w:ascii="Wingdings" w:hAnsi="Wingdings" w:hint="default"/>
      </w:rPr>
    </w:lvl>
    <w:lvl w:ilvl="8" w:tplc="F3B8605C" w:tentative="1">
      <w:start w:val="1"/>
      <w:numFmt w:val="bullet"/>
      <w:lvlText w:val=""/>
      <w:lvlJc w:val="left"/>
      <w:pPr>
        <w:tabs>
          <w:tab w:val="num" w:pos="6480"/>
        </w:tabs>
        <w:ind w:left="6480" w:hanging="360"/>
      </w:pPr>
      <w:rPr>
        <w:rFonts w:ascii="Wingdings" w:hAnsi="Wingdings" w:hint="default"/>
      </w:rPr>
    </w:lvl>
  </w:abstractNum>
  <w:num w:numId="1" w16cid:durableId="830752140">
    <w:abstractNumId w:val="20"/>
  </w:num>
  <w:num w:numId="2" w16cid:durableId="1514878039">
    <w:abstractNumId w:val="11"/>
  </w:num>
  <w:num w:numId="3" w16cid:durableId="1322583910">
    <w:abstractNumId w:val="8"/>
  </w:num>
  <w:num w:numId="4" w16cid:durableId="644554670">
    <w:abstractNumId w:val="4"/>
  </w:num>
  <w:num w:numId="5" w16cid:durableId="1235896104">
    <w:abstractNumId w:val="10"/>
  </w:num>
  <w:num w:numId="6" w16cid:durableId="1552837226">
    <w:abstractNumId w:val="13"/>
  </w:num>
  <w:num w:numId="7" w16cid:durableId="1988510258">
    <w:abstractNumId w:val="6"/>
  </w:num>
  <w:num w:numId="8" w16cid:durableId="873344281">
    <w:abstractNumId w:val="17"/>
  </w:num>
  <w:num w:numId="9" w16cid:durableId="844978920">
    <w:abstractNumId w:val="7"/>
  </w:num>
  <w:num w:numId="10" w16cid:durableId="43526539">
    <w:abstractNumId w:val="22"/>
  </w:num>
  <w:num w:numId="11" w16cid:durableId="1651058981">
    <w:abstractNumId w:val="12"/>
  </w:num>
  <w:num w:numId="12" w16cid:durableId="1297879902">
    <w:abstractNumId w:val="18"/>
  </w:num>
  <w:num w:numId="13" w16cid:durableId="152764954">
    <w:abstractNumId w:val="9"/>
  </w:num>
  <w:num w:numId="14" w16cid:durableId="738019633">
    <w:abstractNumId w:val="2"/>
  </w:num>
  <w:num w:numId="15" w16cid:durableId="390931891">
    <w:abstractNumId w:val="15"/>
  </w:num>
  <w:num w:numId="16" w16cid:durableId="1555969374">
    <w:abstractNumId w:val="0"/>
  </w:num>
  <w:num w:numId="17" w16cid:durableId="560479287">
    <w:abstractNumId w:val="16"/>
  </w:num>
  <w:num w:numId="18" w16cid:durableId="2094081729">
    <w:abstractNumId w:val="21"/>
  </w:num>
  <w:num w:numId="19" w16cid:durableId="540748409">
    <w:abstractNumId w:val="3"/>
  </w:num>
  <w:num w:numId="20" w16cid:durableId="713240025">
    <w:abstractNumId w:val="19"/>
  </w:num>
  <w:num w:numId="21" w16cid:durableId="1126002723">
    <w:abstractNumId w:val="14"/>
  </w:num>
  <w:num w:numId="22" w16cid:durableId="107161403">
    <w:abstractNumId w:val="5"/>
  </w:num>
  <w:num w:numId="23" w16cid:durableId="16129784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1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483C"/>
    <w:rsid w:val="000010FD"/>
    <w:rsid w:val="00001BAC"/>
    <w:rsid w:val="0000245E"/>
    <w:rsid w:val="00002BF2"/>
    <w:rsid w:val="000035BE"/>
    <w:rsid w:val="000038E7"/>
    <w:rsid w:val="00003BA7"/>
    <w:rsid w:val="000046BA"/>
    <w:rsid w:val="00007FC4"/>
    <w:rsid w:val="00010054"/>
    <w:rsid w:val="00011A49"/>
    <w:rsid w:val="000123D7"/>
    <w:rsid w:val="00012676"/>
    <w:rsid w:val="00012E09"/>
    <w:rsid w:val="000130D7"/>
    <w:rsid w:val="0001670C"/>
    <w:rsid w:val="00020814"/>
    <w:rsid w:val="00022779"/>
    <w:rsid w:val="00024505"/>
    <w:rsid w:val="000248C9"/>
    <w:rsid w:val="000252DC"/>
    <w:rsid w:val="000263B1"/>
    <w:rsid w:val="00027076"/>
    <w:rsid w:val="00027618"/>
    <w:rsid w:val="0003247C"/>
    <w:rsid w:val="000333C0"/>
    <w:rsid w:val="000340F0"/>
    <w:rsid w:val="000353B2"/>
    <w:rsid w:val="000409A3"/>
    <w:rsid w:val="00040A41"/>
    <w:rsid w:val="00043FF2"/>
    <w:rsid w:val="00044708"/>
    <w:rsid w:val="0004495C"/>
    <w:rsid w:val="0004572E"/>
    <w:rsid w:val="00045E70"/>
    <w:rsid w:val="0004600A"/>
    <w:rsid w:val="000460A1"/>
    <w:rsid w:val="00046F75"/>
    <w:rsid w:val="00052BF0"/>
    <w:rsid w:val="000546D0"/>
    <w:rsid w:val="00056668"/>
    <w:rsid w:val="00063434"/>
    <w:rsid w:val="00064DAA"/>
    <w:rsid w:val="00065707"/>
    <w:rsid w:val="00065933"/>
    <w:rsid w:val="00067640"/>
    <w:rsid w:val="00067661"/>
    <w:rsid w:val="00072191"/>
    <w:rsid w:val="000722D9"/>
    <w:rsid w:val="000726FB"/>
    <w:rsid w:val="00074B94"/>
    <w:rsid w:val="00074F75"/>
    <w:rsid w:val="00075D18"/>
    <w:rsid w:val="00081B12"/>
    <w:rsid w:val="0008301A"/>
    <w:rsid w:val="000832AF"/>
    <w:rsid w:val="0008499A"/>
    <w:rsid w:val="00086782"/>
    <w:rsid w:val="00086898"/>
    <w:rsid w:val="000871FA"/>
    <w:rsid w:val="00090CD4"/>
    <w:rsid w:val="00091810"/>
    <w:rsid w:val="00091AF5"/>
    <w:rsid w:val="000928BA"/>
    <w:rsid w:val="00092CEB"/>
    <w:rsid w:val="0009365F"/>
    <w:rsid w:val="000937C0"/>
    <w:rsid w:val="0009438E"/>
    <w:rsid w:val="00095325"/>
    <w:rsid w:val="000954A4"/>
    <w:rsid w:val="00095624"/>
    <w:rsid w:val="00095D0C"/>
    <w:rsid w:val="00097173"/>
    <w:rsid w:val="0009751D"/>
    <w:rsid w:val="0009769C"/>
    <w:rsid w:val="00097EF2"/>
    <w:rsid w:val="000A1518"/>
    <w:rsid w:val="000A20F5"/>
    <w:rsid w:val="000A2BB0"/>
    <w:rsid w:val="000B0191"/>
    <w:rsid w:val="000B0BC0"/>
    <w:rsid w:val="000B4E05"/>
    <w:rsid w:val="000B63D9"/>
    <w:rsid w:val="000B7DB0"/>
    <w:rsid w:val="000C24B9"/>
    <w:rsid w:val="000C7C4B"/>
    <w:rsid w:val="000D14EC"/>
    <w:rsid w:val="000D1872"/>
    <w:rsid w:val="000D41A3"/>
    <w:rsid w:val="000D462D"/>
    <w:rsid w:val="000D559A"/>
    <w:rsid w:val="000D5EDE"/>
    <w:rsid w:val="000D6A2D"/>
    <w:rsid w:val="000E02B9"/>
    <w:rsid w:val="000E133E"/>
    <w:rsid w:val="000E14A4"/>
    <w:rsid w:val="000E71EF"/>
    <w:rsid w:val="000F02DD"/>
    <w:rsid w:val="000F08E0"/>
    <w:rsid w:val="000F264E"/>
    <w:rsid w:val="000F3189"/>
    <w:rsid w:val="000F5EDC"/>
    <w:rsid w:val="00100C7E"/>
    <w:rsid w:val="00101357"/>
    <w:rsid w:val="001032C6"/>
    <w:rsid w:val="001036A9"/>
    <w:rsid w:val="00104FF6"/>
    <w:rsid w:val="00106E7C"/>
    <w:rsid w:val="00107854"/>
    <w:rsid w:val="0011039D"/>
    <w:rsid w:val="00112685"/>
    <w:rsid w:val="0011303F"/>
    <w:rsid w:val="001141F8"/>
    <w:rsid w:val="00114A99"/>
    <w:rsid w:val="00116D48"/>
    <w:rsid w:val="0012012F"/>
    <w:rsid w:val="00121212"/>
    <w:rsid w:val="00123A87"/>
    <w:rsid w:val="001240FD"/>
    <w:rsid w:val="001276A3"/>
    <w:rsid w:val="00130737"/>
    <w:rsid w:val="00130CF1"/>
    <w:rsid w:val="00130D78"/>
    <w:rsid w:val="00133027"/>
    <w:rsid w:val="001358A8"/>
    <w:rsid w:val="001360B7"/>
    <w:rsid w:val="001361DB"/>
    <w:rsid w:val="001365F8"/>
    <w:rsid w:val="00137929"/>
    <w:rsid w:val="00137AA6"/>
    <w:rsid w:val="001401F0"/>
    <w:rsid w:val="00141795"/>
    <w:rsid w:val="00147DE8"/>
    <w:rsid w:val="0015174D"/>
    <w:rsid w:val="00151C00"/>
    <w:rsid w:val="00152CBC"/>
    <w:rsid w:val="001537D5"/>
    <w:rsid w:val="001562F9"/>
    <w:rsid w:val="00157EBE"/>
    <w:rsid w:val="00161326"/>
    <w:rsid w:val="00161B66"/>
    <w:rsid w:val="0016306A"/>
    <w:rsid w:val="0016368E"/>
    <w:rsid w:val="001707A6"/>
    <w:rsid w:val="0017083A"/>
    <w:rsid w:val="001721DF"/>
    <w:rsid w:val="0017289C"/>
    <w:rsid w:val="00175482"/>
    <w:rsid w:val="00176D3D"/>
    <w:rsid w:val="00176F21"/>
    <w:rsid w:val="00177825"/>
    <w:rsid w:val="0018006B"/>
    <w:rsid w:val="001802DE"/>
    <w:rsid w:val="00180AF3"/>
    <w:rsid w:val="00180B4E"/>
    <w:rsid w:val="00183080"/>
    <w:rsid w:val="00190214"/>
    <w:rsid w:val="001906C2"/>
    <w:rsid w:val="00193E67"/>
    <w:rsid w:val="00197959"/>
    <w:rsid w:val="001A12D6"/>
    <w:rsid w:val="001A192A"/>
    <w:rsid w:val="001A2CBC"/>
    <w:rsid w:val="001A2E66"/>
    <w:rsid w:val="001A3C32"/>
    <w:rsid w:val="001A469B"/>
    <w:rsid w:val="001A541B"/>
    <w:rsid w:val="001B2209"/>
    <w:rsid w:val="001B3B33"/>
    <w:rsid w:val="001B5398"/>
    <w:rsid w:val="001B6698"/>
    <w:rsid w:val="001C4555"/>
    <w:rsid w:val="001C6B1C"/>
    <w:rsid w:val="001D126F"/>
    <w:rsid w:val="001D3C16"/>
    <w:rsid w:val="001D474C"/>
    <w:rsid w:val="001D4B6B"/>
    <w:rsid w:val="001E08FE"/>
    <w:rsid w:val="001E192C"/>
    <w:rsid w:val="001E69EE"/>
    <w:rsid w:val="001F00EC"/>
    <w:rsid w:val="001F0877"/>
    <w:rsid w:val="001F0D8C"/>
    <w:rsid w:val="001F179B"/>
    <w:rsid w:val="001F2F5A"/>
    <w:rsid w:val="001F3E09"/>
    <w:rsid w:val="001F4071"/>
    <w:rsid w:val="001F62FA"/>
    <w:rsid w:val="00200E39"/>
    <w:rsid w:val="0020175B"/>
    <w:rsid w:val="00203AD3"/>
    <w:rsid w:val="00203B2A"/>
    <w:rsid w:val="00204369"/>
    <w:rsid w:val="002109EC"/>
    <w:rsid w:val="00210E9A"/>
    <w:rsid w:val="002116F5"/>
    <w:rsid w:val="0021239D"/>
    <w:rsid w:val="002130A5"/>
    <w:rsid w:val="00213630"/>
    <w:rsid w:val="00213C42"/>
    <w:rsid w:val="00213F29"/>
    <w:rsid w:val="00214537"/>
    <w:rsid w:val="0021596B"/>
    <w:rsid w:val="0021663B"/>
    <w:rsid w:val="00220DC3"/>
    <w:rsid w:val="00221961"/>
    <w:rsid w:val="00221B1F"/>
    <w:rsid w:val="00222EA6"/>
    <w:rsid w:val="0022380E"/>
    <w:rsid w:val="00223924"/>
    <w:rsid w:val="0022719D"/>
    <w:rsid w:val="00227DBD"/>
    <w:rsid w:val="002346E9"/>
    <w:rsid w:val="0023530D"/>
    <w:rsid w:val="00235324"/>
    <w:rsid w:val="00235FE2"/>
    <w:rsid w:val="00237113"/>
    <w:rsid w:val="00237F14"/>
    <w:rsid w:val="002400FF"/>
    <w:rsid w:val="00241770"/>
    <w:rsid w:val="002449B9"/>
    <w:rsid w:val="00245498"/>
    <w:rsid w:val="00246790"/>
    <w:rsid w:val="00246A5D"/>
    <w:rsid w:val="002505A8"/>
    <w:rsid w:val="002511D1"/>
    <w:rsid w:val="00252EAB"/>
    <w:rsid w:val="00253B5E"/>
    <w:rsid w:val="00254970"/>
    <w:rsid w:val="0026083B"/>
    <w:rsid w:val="00260B79"/>
    <w:rsid w:val="00260C41"/>
    <w:rsid w:val="00261559"/>
    <w:rsid w:val="0026199D"/>
    <w:rsid w:val="00262E8F"/>
    <w:rsid w:val="00264AB0"/>
    <w:rsid w:val="002650A8"/>
    <w:rsid w:val="00267845"/>
    <w:rsid w:val="002720E4"/>
    <w:rsid w:val="002748BD"/>
    <w:rsid w:val="00275D29"/>
    <w:rsid w:val="00275DFD"/>
    <w:rsid w:val="0027696C"/>
    <w:rsid w:val="00276C1B"/>
    <w:rsid w:val="0028143D"/>
    <w:rsid w:val="0028445A"/>
    <w:rsid w:val="0028590B"/>
    <w:rsid w:val="00287D8A"/>
    <w:rsid w:val="00291327"/>
    <w:rsid w:val="0029198E"/>
    <w:rsid w:val="00292468"/>
    <w:rsid w:val="002950AC"/>
    <w:rsid w:val="0029640C"/>
    <w:rsid w:val="002968BC"/>
    <w:rsid w:val="002A070D"/>
    <w:rsid w:val="002A3454"/>
    <w:rsid w:val="002A48FD"/>
    <w:rsid w:val="002A5270"/>
    <w:rsid w:val="002A54D5"/>
    <w:rsid w:val="002B2019"/>
    <w:rsid w:val="002B42CD"/>
    <w:rsid w:val="002B49A6"/>
    <w:rsid w:val="002B4A67"/>
    <w:rsid w:val="002B5445"/>
    <w:rsid w:val="002B68B1"/>
    <w:rsid w:val="002B6A06"/>
    <w:rsid w:val="002B7544"/>
    <w:rsid w:val="002B7B47"/>
    <w:rsid w:val="002C0471"/>
    <w:rsid w:val="002C2F74"/>
    <w:rsid w:val="002C3201"/>
    <w:rsid w:val="002C4668"/>
    <w:rsid w:val="002C53B8"/>
    <w:rsid w:val="002C5B11"/>
    <w:rsid w:val="002C6EE8"/>
    <w:rsid w:val="002D2AD9"/>
    <w:rsid w:val="002D42CB"/>
    <w:rsid w:val="002D5A59"/>
    <w:rsid w:val="002D797A"/>
    <w:rsid w:val="002D7ACB"/>
    <w:rsid w:val="002E055D"/>
    <w:rsid w:val="002E0A5B"/>
    <w:rsid w:val="002E3171"/>
    <w:rsid w:val="002E3EEE"/>
    <w:rsid w:val="002E4155"/>
    <w:rsid w:val="002E4F17"/>
    <w:rsid w:val="002E5AB9"/>
    <w:rsid w:val="002E5CF0"/>
    <w:rsid w:val="002E7264"/>
    <w:rsid w:val="002F1D57"/>
    <w:rsid w:val="002F218B"/>
    <w:rsid w:val="002F50BE"/>
    <w:rsid w:val="002F5965"/>
    <w:rsid w:val="002F6D6A"/>
    <w:rsid w:val="00300295"/>
    <w:rsid w:val="00302EB9"/>
    <w:rsid w:val="0030312F"/>
    <w:rsid w:val="003055D0"/>
    <w:rsid w:val="00306231"/>
    <w:rsid w:val="00306271"/>
    <w:rsid w:val="00310A5D"/>
    <w:rsid w:val="00310DD5"/>
    <w:rsid w:val="00311A24"/>
    <w:rsid w:val="00313577"/>
    <w:rsid w:val="00313B71"/>
    <w:rsid w:val="003145A1"/>
    <w:rsid w:val="0031592B"/>
    <w:rsid w:val="00321466"/>
    <w:rsid w:val="003214BA"/>
    <w:rsid w:val="00321F29"/>
    <w:rsid w:val="00322348"/>
    <w:rsid w:val="00322E88"/>
    <w:rsid w:val="00330778"/>
    <w:rsid w:val="00333E7A"/>
    <w:rsid w:val="003351F2"/>
    <w:rsid w:val="00335862"/>
    <w:rsid w:val="00335DFE"/>
    <w:rsid w:val="003361C4"/>
    <w:rsid w:val="0034026A"/>
    <w:rsid w:val="00341BCC"/>
    <w:rsid w:val="00341D76"/>
    <w:rsid w:val="0034758B"/>
    <w:rsid w:val="00347677"/>
    <w:rsid w:val="00353F18"/>
    <w:rsid w:val="00355443"/>
    <w:rsid w:val="003563C5"/>
    <w:rsid w:val="003572D7"/>
    <w:rsid w:val="003578D3"/>
    <w:rsid w:val="0036356F"/>
    <w:rsid w:val="00367857"/>
    <w:rsid w:val="00367A65"/>
    <w:rsid w:val="003709B7"/>
    <w:rsid w:val="00373E94"/>
    <w:rsid w:val="0037427E"/>
    <w:rsid w:val="00375C9E"/>
    <w:rsid w:val="00375E53"/>
    <w:rsid w:val="00377D43"/>
    <w:rsid w:val="00380972"/>
    <w:rsid w:val="00381319"/>
    <w:rsid w:val="00381BBA"/>
    <w:rsid w:val="00382764"/>
    <w:rsid w:val="00382BC2"/>
    <w:rsid w:val="00384157"/>
    <w:rsid w:val="003873D6"/>
    <w:rsid w:val="003873FD"/>
    <w:rsid w:val="0038760F"/>
    <w:rsid w:val="00387A2D"/>
    <w:rsid w:val="00390139"/>
    <w:rsid w:val="00392C74"/>
    <w:rsid w:val="0039337D"/>
    <w:rsid w:val="003933FB"/>
    <w:rsid w:val="003942FD"/>
    <w:rsid w:val="003A19FE"/>
    <w:rsid w:val="003A1F18"/>
    <w:rsid w:val="003A4B2A"/>
    <w:rsid w:val="003A7157"/>
    <w:rsid w:val="003A7175"/>
    <w:rsid w:val="003A7F0E"/>
    <w:rsid w:val="003B0705"/>
    <w:rsid w:val="003B160E"/>
    <w:rsid w:val="003B1BEF"/>
    <w:rsid w:val="003B258E"/>
    <w:rsid w:val="003B57AF"/>
    <w:rsid w:val="003B674C"/>
    <w:rsid w:val="003B68D1"/>
    <w:rsid w:val="003B6B5F"/>
    <w:rsid w:val="003B759D"/>
    <w:rsid w:val="003B79BA"/>
    <w:rsid w:val="003C21FE"/>
    <w:rsid w:val="003C2C72"/>
    <w:rsid w:val="003C367E"/>
    <w:rsid w:val="003C44F1"/>
    <w:rsid w:val="003C5272"/>
    <w:rsid w:val="003C63FE"/>
    <w:rsid w:val="003C6F7E"/>
    <w:rsid w:val="003D0041"/>
    <w:rsid w:val="003D12FF"/>
    <w:rsid w:val="003D30F1"/>
    <w:rsid w:val="003D524A"/>
    <w:rsid w:val="003D6901"/>
    <w:rsid w:val="003D738C"/>
    <w:rsid w:val="003E1620"/>
    <w:rsid w:val="003E1AF9"/>
    <w:rsid w:val="003E1FBB"/>
    <w:rsid w:val="003E370D"/>
    <w:rsid w:val="003E47B0"/>
    <w:rsid w:val="003E5208"/>
    <w:rsid w:val="003E6266"/>
    <w:rsid w:val="003E7849"/>
    <w:rsid w:val="003E7B76"/>
    <w:rsid w:val="003E7C7C"/>
    <w:rsid w:val="003F098B"/>
    <w:rsid w:val="003F1B73"/>
    <w:rsid w:val="003F2781"/>
    <w:rsid w:val="003F47FC"/>
    <w:rsid w:val="003F6225"/>
    <w:rsid w:val="003F63D6"/>
    <w:rsid w:val="00400200"/>
    <w:rsid w:val="004002B2"/>
    <w:rsid w:val="0040064F"/>
    <w:rsid w:val="004008F1"/>
    <w:rsid w:val="00400A4C"/>
    <w:rsid w:val="0040631E"/>
    <w:rsid w:val="004063A8"/>
    <w:rsid w:val="00406C25"/>
    <w:rsid w:val="00407A67"/>
    <w:rsid w:val="00410303"/>
    <w:rsid w:val="00410670"/>
    <w:rsid w:val="00410E09"/>
    <w:rsid w:val="00411F1C"/>
    <w:rsid w:val="00412FB3"/>
    <w:rsid w:val="00416D16"/>
    <w:rsid w:val="00417335"/>
    <w:rsid w:val="0041780A"/>
    <w:rsid w:val="00417AB0"/>
    <w:rsid w:val="00417FBA"/>
    <w:rsid w:val="0042057B"/>
    <w:rsid w:val="004209E9"/>
    <w:rsid w:val="004211DB"/>
    <w:rsid w:val="00422E5D"/>
    <w:rsid w:val="004235F4"/>
    <w:rsid w:val="00424DA7"/>
    <w:rsid w:val="00425910"/>
    <w:rsid w:val="0042638A"/>
    <w:rsid w:val="00427850"/>
    <w:rsid w:val="0043027F"/>
    <w:rsid w:val="00431D04"/>
    <w:rsid w:val="00432AF7"/>
    <w:rsid w:val="00435238"/>
    <w:rsid w:val="004361EE"/>
    <w:rsid w:val="00437C1D"/>
    <w:rsid w:val="00440E80"/>
    <w:rsid w:val="00441516"/>
    <w:rsid w:val="00442019"/>
    <w:rsid w:val="0044261D"/>
    <w:rsid w:val="004436E3"/>
    <w:rsid w:val="00444EED"/>
    <w:rsid w:val="004451B3"/>
    <w:rsid w:val="004464A6"/>
    <w:rsid w:val="0044796E"/>
    <w:rsid w:val="00450FCD"/>
    <w:rsid w:val="0045158E"/>
    <w:rsid w:val="004516EB"/>
    <w:rsid w:val="00451C64"/>
    <w:rsid w:val="004537A8"/>
    <w:rsid w:val="00453A87"/>
    <w:rsid w:val="00454C0A"/>
    <w:rsid w:val="00456363"/>
    <w:rsid w:val="00457415"/>
    <w:rsid w:val="00457615"/>
    <w:rsid w:val="00457BF9"/>
    <w:rsid w:val="00460711"/>
    <w:rsid w:val="00460BCE"/>
    <w:rsid w:val="004612DE"/>
    <w:rsid w:val="004614A5"/>
    <w:rsid w:val="00462D89"/>
    <w:rsid w:val="00462E94"/>
    <w:rsid w:val="00463B0A"/>
    <w:rsid w:val="004640DF"/>
    <w:rsid w:val="00464137"/>
    <w:rsid w:val="004752E9"/>
    <w:rsid w:val="00475710"/>
    <w:rsid w:val="00475B69"/>
    <w:rsid w:val="00477D65"/>
    <w:rsid w:val="00477F00"/>
    <w:rsid w:val="00483AA3"/>
    <w:rsid w:val="00483BF9"/>
    <w:rsid w:val="004878A5"/>
    <w:rsid w:val="0049016A"/>
    <w:rsid w:val="004903FF"/>
    <w:rsid w:val="00490E37"/>
    <w:rsid w:val="00491BA7"/>
    <w:rsid w:val="004959B2"/>
    <w:rsid w:val="004962EC"/>
    <w:rsid w:val="00496728"/>
    <w:rsid w:val="004A0206"/>
    <w:rsid w:val="004A35EE"/>
    <w:rsid w:val="004A3D34"/>
    <w:rsid w:val="004A4B15"/>
    <w:rsid w:val="004A7420"/>
    <w:rsid w:val="004B0B45"/>
    <w:rsid w:val="004B1E1C"/>
    <w:rsid w:val="004B3D64"/>
    <w:rsid w:val="004B4164"/>
    <w:rsid w:val="004B674A"/>
    <w:rsid w:val="004C21B9"/>
    <w:rsid w:val="004C3041"/>
    <w:rsid w:val="004C3F8F"/>
    <w:rsid w:val="004C5603"/>
    <w:rsid w:val="004C6AEB"/>
    <w:rsid w:val="004C6E6B"/>
    <w:rsid w:val="004D1DA4"/>
    <w:rsid w:val="004D27B2"/>
    <w:rsid w:val="004D29A6"/>
    <w:rsid w:val="004D3861"/>
    <w:rsid w:val="004D388C"/>
    <w:rsid w:val="004D4B13"/>
    <w:rsid w:val="004D5C4B"/>
    <w:rsid w:val="004D65ED"/>
    <w:rsid w:val="004D6B1B"/>
    <w:rsid w:val="004D745B"/>
    <w:rsid w:val="004E15A8"/>
    <w:rsid w:val="004E18BB"/>
    <w:rsid w:val="004E1DE8"/>
    <w:rsid w:val="004E213B"/>
    <w:rsid w:val="004E34E2"/>
    <w:rsid w:val="004E5D8B"/>
    <w:rsid w:val="004E60E0"/>
    <w:rsid w:val="004E6514"/>
    <w:rsid w:val="004E7AFE"/>
    <w:rsid w:val="004F0FEF"/>
    <w:rsid w:val="004F1674"/>
    <w:rsid w:val="004F5773"/>
    <w:rsid w:val="00500DAD"/>
    <w:rsid w:val="00501B85"/>
    <w:rsid w:val="005030CF"/>
    <w:rsid w:val="00506F0D"/>
    <w:rsid w:val="00511DB0"/>
    <w:rsid w:val="00516257"/>
    <w:rsid w:val="00517304"/>
    <w:rsid w:val="005175CE"/>
    <w:rsid w:val="00517B9C"/>
    <w:rsid w:val="00521C09"/>
    <w:rsid w:val="00523271"/>
    <w:rsid w:val="005237A2"/>
    <w:rsid w:val="0052447F"/>
    <w:rsid w:val="00524CCF"/>
    <w:rsid w:val="0052744F"/>
    <w:rsid w:val="00527679"/>
    <w:rsid w:val="00527881"/>
    <w:rsid w:val="005311BB"/>
    <w:rsid w:val="0053279D"/>
    <w:rsid w:val="00532E00"/>
    <w:rsid w:val="0053313A"/>
    <w:rsid w:val="005369F0"/>
    <w:rsid w:val="00537423"/>
    <w:rsid w:val="00537A55"/>
    <w:rsid w:val="0054096B"/>
    <w:rsid w:val="00540E1B"/>
    <w:rsid w:val="005415F6"/>
    <w:rsid w:val="005428E2"/>
    <w:rsid w:val="00542FC6"/>
    <w:rsid w:val="005456D9"/>
    <w:rsid w:val="00547609"/>
    <w:rsid w:val="00552A85"/>
    <w:rsid w:val="00552B10"/>
    <w:rsid w:val="005530DA"/>
    <w:rsid w:val="00555280"/>
    <w:rsid w:val="00556DCC"/>
    <w:rsid w:val="00557449"/>
    <w:rsid w:val="00562D8A"/>
    <w:rsid w:val="00564008"/>
    <w:rsid w:val="00565257"/>
    <w:rsid w:val="00565A82"/>
    <w:rsid w:val="005676D4"/>
    <w:rsid w:val="005709BD"/>
    <w:rsid w:val="005738C0"/>
    <w:rsid w:val="00573924"/>
    <w:rsid w:val="00573A04"/>
    <w:rsid w:val="005756C4"/>
    <w:rsid w:val="00576510"/>
    <w:rsid w:val="00577730"/>
    <w:rsid w:val="0058222E"/>
    <w:rsid w:val="00587A79"/>
    <w:rsid w:val="00591608"/>
    <w:rsid w:val="005927A5"/>
    <w:rsid w:val="00595068"/>
    <w:rsid w:val="00597143"/>
    <w:rsid w:val="0059791A"/>
    <w:rsid w:val="005A0AAE"/>
    <w:rsid w:val="005A5A48"/>
    <w:rsid w:val="005B2E83"/>
    <w:rsid w:val="005B4414"/>
    <w:rsid w:val="005B4AF1"/>
    <w:rsid w:val="005C114F"/>
    <w:rsid w:val="005C14D3"/>
    <w:rsid w:val="005C2B10"/>
    <w:rsid w:val="005C3649"/>
    <w:rsid w:val="005C5745"/>
    <w:rsid w:val="005C5EE1"/>
    <w:rsid w:val="005C7ADA"/>
    <w:rsid w:val="005D287F"/>
    <w:rsid w:val="005D2A34"/>
    <w:rsid w:val="005D310D"/>
    <w:rsid w:val="005D334F"/>
    <w:rsid w:val="005D47F8"/>
    <w:rsid w:val="005D63CD"/>
    <w:rsid w:val="005D67C5"/>
    <w:rsid w:val="005D7538"/>
    <w:rsid w:val="005D7BBF"/>
    <w:rsid w:val="005E10F3"/>
    <w:rsid w:val="005E1F39"/>
    <w:rsid w:val="005E34CE"/>
    <w:rsid w:val="005E4B10"/>
    <w:rsid w:val="005E4C93"/>
    <w:rsid w:val="005E5E5D"/>
    <w:rsid w:val="005E74B4"/>
    <w:rsid w:val="005F39C5"/>
    <w:rsid w:val="005F45AF"/>
    <w:rsid w:val="005F56A4"/>
    <w:rsid w:val="005F5BD5"/>
    <w:rsid w:val="005F7958"/>
    <w:rsid w:val="0060013B"/>
    <w:rsid w:val="006046C3"/>
    <w:rsid w:val="00604A5F"/>
    <w:rsid w:val="00604AD4"/>
    <w:rsid w:val="00605D18"/>
    <w:rsid w:val="00611EE6"/>
    <w:rsid w:val="00613D74"/>
    <w:rsid w:val="0061440E"/>
    <w:rsid w:val="00614DFB"/>
    <w:rsid w:val="00617193"/>
    <w:rsid w:val="00617577"/>
    <w:rsid w:val="00624583"/>
    <w:rsid w:val="0062726C"/>
    <w:rsid w:val="00627755"/>
    <w:rsid w:val="00627C1D"/>
    <w:rsid w:val="0063052B"/>
    <w:rsid w:val="00630A34"/>
    <w:rsid w:val="00630FB4"/>
    <w:rsid w:val="00632F42"/>
    <w:rsid w:val="0063383E"/>
    <w:rsid w:val="00633AE5"/>
    <w:rsid w:val="006343D5"/>
    <w:rsid w:val="00637973"/>
    <w:rsid w:val="0064047B"/>
    <w:rsid w:val="00642496"/>
    <w:rsid w:val="00642F46"/>
    <w:rsid w:val="006436DD"/>
    <w:rsid w:val="006439A3"/>
    <w:rsid w:val="0064520B"/>
    <w:rsid w:val="00646FBD"/>
    <w:rsid w:val="006474F8"/>
    <w:rsid w:val="006518DA"/>
    <w:rsid w:val="006523CE"/>
    <w:rsid w:val="00653DA8"/>
    <w:rsid w:val="006554B0"/>
    <w:rsid w:val="00655E63"/>
    <w:rsid w:val="0065619B"/>
    <w:rsid w:val="006566A7"/>
    <w:rsid w:val="006614C5"/>
    <w:rsid w:val="00661B07"/>
    <w:rsid w:val="00662366"/>
    <w:rsid w:val="006645F5"/>
    <w:rsid w:val="0066506A"/>
    <w:rsid w:val="00665BE7"/>
    <w:rsid w:val="00666C30"/>
    <w:rsid w:val="00671FA4"/>
    <w:rsid w:val="0067374F"/>
    <w:rsid w:val="00674AB0"/>
    <w:rsid w:val="00684671"/>
    <w:rsid w:val="00684794"/>
    <w:rsid w:val="006854BF"/>
    <w:rsid w:val="00686A75"/>
    <w:rsid w:val="0068704D"/>
    <w:rsid w:val="006874A0"/>
    <w:rsid w:val="00687C23"/>
    <w:rsid w:val="006906FF"/>
    <w:rsid w:val="00691B4D"/>
    <w:rsid w:val="0069288C"/>
    <w:rsid w:val="006929EE"/>
    <w:rsid w:val="006953A4"/>
    <w:rsid w:val="0069699C"/>
    <w:rsid w:val="006969A5"/>
    <w:rsid w:val="00696E85"/>
    <w:rsid w:val="006A0AD2"/>
    <w:rsid w:val="006A387F"/>
    <w:rsid w:val="006A3E26"/>
    <w:rsid w:val="006A4295"/>
    <w:rsid w:val="006A458B"/>
    <w:rsid w:val="006A54AD"/>
    <w:rsid w:val="006A59D0"/>
    <w:rsid w:val="006A5DAA"/>
    <w:rsid w:val="006A6382"/>
    <w:rsid w:val="006A6A65"/>
    <w:rsid w:val="006A7C1C"/>
    <w:rsid w:val="006B1509"/>
    <w:rsid w:val="006B2EBD"/>
    <w:rsid w:val="006B3C24"/>
    <w:rsid w:val="006B522E"/>
    <w:rsid w:val="006B5357"/>
    <w:rsid w:val="006B58D7"/>
    <w:rsid w:val="006B5E49"/>
    <w:rsid w:val="006B650F"/>
    <w:rsid w:val="006C095B"/>
    <w:rsid w:val="006C0D08"/>
    <w:rsid w:val="006C11DA"/>
    <w:rsid w:val="006C14B3"/>
    <w:rsid w:val="006C2CD2"/>
    <w:rsid w:val="006C2CEF"/>
    <w:rsid w:val="006C3394"/>
    <w:rsid w:val="006C388F"/>
    <w:rsid w:val="006C401A"/>
    <w:rsid w:val="006C45EC"/>
    <w:rsid w:val="006C5666"/>
    <w:rsid w:val="006C577C"/>
    <w:rsid w:val="006C6629"/>
    <w:rsid w:val="006D19FF"/>
    <w:rsid w:val="006D1CC4"/>
    <w:rsid w:val="006D2984"/>
    <w:rsid w:val="006D3293"/>
    <w:rsid w:val="006D3F08"/>
    <w:rsid w:val="006D536A"/>
    <w:rsid w:val="006D67B5"/>
    <w:rsid w:val="006E1069"/>
    <w:rsid w:val="006E3BB0"/>
    <w:rsid w:val="006F00A6"/>
    <w:rsid w:val="006F04D1"/>
    <w:rsid w:val="006F11FA"/>
    <w:rsid w:val="006F1804"/>
    <w:rsid w:val="006F24CB"/>
    <w:rsid w:val="006F3701"/>
    <w:rsid w:val="006F4942"/>
    <w:rsid w:val="006F4BAA"/>
    <w:rsid w:val="006F7952"/>
    <w:rsid w:val="007020AE"/>
    <w:rsid w:val="00704BD2"/>
    <w:rsid w:val="00705640"/>
    <w:rsid w:val="0070762A"/>
    <w:rsid w:val="0071087C"/>
    <w:rsid w:val="0071271D"/>
    <w:rsid w:val="00714921"/>
    <w:rsid w:val="007161A2"/>
    <w:rsid w:val="007179C3"/>
    <w:rsid w:val="0072009E"/>
    <w:rsid w:val="00720721"/>
    <w:rsid w:val="00724E3D"/>
    <w:rsid w:val="00725414"/>
    <w:rsid w:val="007263EE"/>
    <w:rsid w:val="007318E3"/>
    <w:rsid w:val="00732B89"/>
    <w:rsid w:val="007334E1"/>
    <w:rsid w:val="007334FD"/>
    <w:rsid w:val="0073673F"/>
    <w:rsid w:val="007375FC"/>
    <w:rsid w:val="0073792B"/>
    <w:rsid w:val="007403DB"/>
    <w:rsid w:val="00741395"/>
    <w:rsid w:val="007419B8"/>
    <w:rsid w:val="00742226"/>
    <w:rsid w:val="007501F0"/>
    <w:rsid w:val="00750534"/>
    <w:rsid w:val="007506E5"/>
    <w:rsid w:val="007530BD"/>
    <w:rsid w:val="0075668D"/>
    <w:rsid w:val="00756E42"/>
    <w:rsid w:val="0075775D"/>
    <w:rsid w:val="0076653E"/>
    <w:rsid w:val="007706DC"/>
    <w:rsid w:val="00771AB8"/>
    <w:rsid w:val="007737B8"/>
    <w:rsid w:val="007751C4"/>
    <w:rsid w:val="0077745F"/>
    <w:rsid w:val="00777595"/>
    <w:rsid w:val="007846E7"/>
    <w:rsid w:val="00785BFF"/>
    <w:rsid w:val="00785E34"/>
    <w:rsid w:val="00790256"/>
    <w:rsid w:val="00794C78"/>
    <w:rsid w:val="00795B95"/>
    <w:rsid w:val="00795C9E"/>
    <w:rsid w:val="00797227"/>
    <w:rsid w:val="007A070B"/>
    <w:rsid w:val="007A12D0"/>
    <w:rsid w:val="007A2E34"/>
    <w:rsid w:val="007A503A"/>
    <w:rsid w:val="007A571F"/>
    <w:rsid w:val="007A6028"/>
    <w:rsid w:val="007A7974"/>
    <w:rsid w:val="007B06D2"/>
    <w:rsid w:val="007B090A"/>
    <w:rsid w:val="007B1076"/>
    <w:rsid w:val="007B10EA"/>
    <w:rsid w:val="007B5FAA"/>
    <w:rsid w:val="007C0F86"/>
    <w:rsid w:val="007C161A"/>
    <w:rsid w:val="007C1FFC"/>
    <w:rsid w:val="007C24E8"/>
    <w:rsid w:val="007C306F"/>
    <w:rsid w:val="007C451E"/>
    <w:rsid w:val="007C513B"/>
    <w:rsid w:val="007C6832"/>
    <w:rsid w:val="007C6BB0"/>
    <w:rsid w:val="007D28DD"/>
    <w:rsid w:val="007D2D59"/>
    <w:rsid w:val="007D4DBB"/>
    <w:rsid w:val="007D5AB4"/>
    <w:rsid w:val="007D718D"/>
    <w:rsid w:val="007E0685"/>
    <w:rsid w:val="007E09A1"/>
    <w:rsid w:val="007E12A3"/>
    <w:rsid w:val="007E2C05"/>
    <w:rsid w:val="007E38ED"/>
    <w:rsid w:val="007E3DF2"/>
    <w:rsid w:val="007E5238"/>
    <w:rsid w:val="007E74AC"/>
    <w:rsid w:val="007E7602"/>
    <w:rsid w:val="007F06F3"/>
    <w:rsid w:val="007F44F4"/>
    <w:rsid w:val="007F5FA7"/>
    <w:rsid w:val="007F698B"/>
    <w:rsid w:val="008003BB"/>
    <w:rsid w:val="0080310E"/>
    <w:rsid w:val="00803CDB"/>
    <w:rsid w:val="00806F5B"/>
    <w:rsid w:val="00807412"/>
    <w:rsid w:val="00810FF0"/>
    <w:rsid w:val="00812972"/>
    <w:rsid w:val="00812CC5"/>
    <w:rsid w:val="00814C87"/>
    <w:rsid w:val="00822287"/>
    <w:rsid w:val="0082415B"/>
    <w:rsid w:val="008269FD"/>
    <w:rsid w:val="0082715B"/>
    <w:rsid w:val="00831E1D"/>
    <w:rsid w:val="00832524"/>
    <w:rsid w:val="0083272E"/>
    <w:rsid w:val="008328C6"/>
    <w:rsid w:val="00834E20"/>
    <w:rsid w:val="00835543"/>
    <w:rsid w:val="00836269"/>
    <w:rsid w:val="00840773"/>
    <w:rsid w:val="00841DEE"/>
    <w:rsid w:val="00841FEE"/>
    <w:rsid w:val="008423B6"/>
    <w:rsid w:val="008427F0"/>
    <w:rsid w:val="00842EFE"/>
    <w:rsid w:val="00842FA4"/>
    <w:rsid w:val="00843654"/>
    <w:rsid w:val="0084395C"/>
    <w:rsid w:val="008440BE"/>
    <w:rsid w:val="008446B6"/>
    <w:rsid w:val="0084483C"/>
    <w:rsid w:val="00846585"/>
    <w:rsid w:val="008465CC"/>
    <w:rsid w:val="00846F29"/>
    <w:rsid w:val="008513F5"/>
    <w:rsid w:val="00851D3D"/>
    <w:rsid w:val="00855CB8"/>
    <w:rsid w:val="00855D8F"/>
    <w:rsid w:val="00856117"/>
    <w:rsid w:val="0085684A"/>
    <w:rsid w:val="008570C6"/>
    <w:rsid w:val="00862561"/>
    <w:rsid w:val="00863044"/>
    <w:rsid w:val="0086345E"/>
    <w:rsid w:val="008646C0"/>
    <w:rsid w:val="00865418"/>
    <w:rsid w:val="00865FD6"/>
    <w:rsid w:val="00872630"/>
    <w:rsid w:val="00875095"/>
    <w:rsid w:val="00876054"/>
    <w:rsid w:val="008779B5"/>
    <w:rsid w:val="008802A0"/>
    <w:rsid w:val="00880B6F"/>
    <w:rsid w:val="00882D31"/>
    <w:rsid w:val="00883702"/>
    <w:rsid w:val="00885E00"/>
    <w:rsid w:val="00886327"/>
    <w:rsid w:val="00886AF0"/>
    <w:rsid w:val="00886BD9"/>
    <w:rsid w:val="00887FA5"/>
    <w:rsid w:val="008902A6"/>
    <w:rsid w:val="008911B5"/>
    <w:rsid w:val="008919BD"/>
    <w:rsid w:val="008928B8"/>
    <w:rsid w:val="008963B9"/>
    <w:rsid w:val="008968A4"/>
    <w:rsid w:val="008A2203"/>
    <w:rsid w:val="008A249B"/>
    <w:rsid w:val="008A2DF9"/>
    <w:rsid w:val="008A355D"/>
    <w:rsid w:val="008A3923"/>
    <w:rsid w:val="008A75DA"/>
    <w:rsid w:val="008B0632"/>
    <w:rsid w:val="008B3B67"/>
    <w:rsid w:val="008B6231"/>
    <w:rsid w:val="008B6E61"/>
    <w:rsid w:val="008B73D8"/>
    <w:rsid w:val="008C0472"/>
    <w:rsid w:val="008C171C"/>
    <w:rsid w:val="008C2838"/>
    <w:rsid w:val="008C2D72"/>
    <w:rsid w:val="008C5247"/>
    <w:rsid w:val="008D0C9A"/>
    <w:rsid w:val="008D2138"/>
    <w:rsid w:val="008D2AB7"/>
    <w:rsid w:val="008D6CBB"/>
    <w:rsid w:val="008E0D16"/>
    <w:rsid w:val="008E1F80"/>
    <w:rsid w:val="008E286C"/>
    <w:rsid w:val="008E335A"/>
    <w:rsid w:val="008E37FC"/>
    <w:rsid w:val="008E3C7C"/>
    <w:rsid w:val="008E4E7F"/>
    <w:rsid w:val="008E6BBD"/>
    <w:rsid w:val="008F32A2"/>
    <w:rsid w:val="008F6ED0"/>
    <w:rsid w:val="00900A88"/>
    <w:rsid w:val="00902872"/>
    <w:rsid w:val="00902EF0"/>
    <w:rsid w:val="00903BAA"/>
    <w:rsid w:val="00904BD9"/>
    <w:rsid w:val="0090635A"/>
    <w:rsid w:val="009063A5"/>
    <w:rsid w:val="0090701F"/>
    <w:rsid w:val="00907706"/>
    <w:rsid w:val="00907E4B"/>
    <w:rsid w:val="009110F9"/>
    <w:rsid w:val="0091116E"/>
    <w:rsid w:val="00911659"/>
    <w:rsid w:val="0091280A"/>
    <w:rsid w:val="00914CA4"/>
    <w:rsid w:val="009156E1"/>
    <w:rsid w:val="0091591F"/>
    <w:rsid w:val="0092041F"/>
    <w:rsid w:val="00921BEB"/>
    <w:rsid w:val="0092283A"/>
    <w:rsid w:val="0092351F"/>
    <w:rsid w:val="009246B1"/>
    <w:rsid w:val="00924752"/>
    <w:rsid w:val="00930BB1"/>
    <w:rsid w:val="00931B01"/>
    <w:rsid w:val="00932701"/>
    <w:rsid w:val="00934C57"/>
    <w:rsid w:val="009369A9"/>
    <w:rsid w:val="0093702C"/>
    <w:rsid w:val="00937B29"/>
    <w:rsid w:val="00937DBF"/>
    <w:rsid w:val="009412E8"/>
    <w:rsid w:val="00941614"/>
    <w:rsid w:val="00943B17"/>
    <w:rsid w:val="00943B29"/>
    <w:rsid w:val="009447D7"/>
    <w:rsid w:val="00950567"/>
    <w:rsid w:val="009506F7"/>
    <w:rsid w:val="009507CD"/>
    <w:rsid w:val="00950B03"/>
    <w:rsid w:val="00952852"/>
    <w:rsid w:val="00953DC3"/>
    <w:rsid w:val="009540C9"/>
    <w:rsid w:val="00954FFC"/>
    <w:rsid w:val="0095543E"/>
    <w:rsid w:val="00956AEE"/>
    <w:rsid w:val="00956DB8"/>
    <w:rsid w:val="00956F8D"/>
    <w:rsid w:val="009570CC"/>
    <w:rsid w:val="00957249"/>
    <w:rsid w:val="009572C1"/>
    <w:rsid w:val="0096039D"/>
    <w:rsid w:val="00961618"/>
    <w:rsid w:val="009619B8"/>
    <w:rsid w:val="009623BF"/>
    <w:rsid w:val="00965E2F"/>
    <w:rsid w:val="00966E3E"/>
    <w:rsid w:val="00967181"/>
    <w:rsid w:val="009678BF"/>
    <w:rsid w:val="00967F12"/>
    <w:rsid w:val="009710E2"/>
    <w:rsid w:val="00971628"/>
    <w:rsid w:val="009744EC"/>
    <w:rsid w:val="00975C0B"/>
    <w:rsid w:val="00980646"/>
    <w:rsid w:val="0098179A"/>
    <w:rsid w:val="00982767"/>
    <w:rsid w:val="00984FEA"/>
    <w:rsid w:val="00985650"/>
    <w:rsid w:val="009874C6"/>
    <w:rsid w:val="009909C7"/>
    <w:rsid w:val="00992097"/>
    <w:rsid w:val="009A1167"/>
    <w:rsid w:val="009A27CF"/>
    <w:rsid w:val="009A4205"/>
    <w:rsid w:val="009A625B"/>
    <w:rsid w:val="009B02E3"/>
    <w:rsid w:val="009B090B"/>
    <w:rsid w:val="009B2493"/>
    <w:rsid w:val="009B2CB2"/>
    <w:rsid w:val="009B46EE"/>
    <w:rsid w:val="009B630E"/>
    <w:rsid w:val="009B75F9"/>
    <w:rsid w:val="009C05ED"/>
    <w:rsid w:val="009C07BC"/>
    <w:rsid w:val="009C0B4C"/>
    <w:rsid w:val="009C221C"/>
    <w:rsid w:val="009C3459"/>
    <w:rsid w:val="009C5438"/>
    <w:rsid w:val="009C627A"/>
    <w:rsid w:val="009C6326"/>
    <w:rsid w:val="009C7378"/>
    <w:rsid w:val="009D1CCA"/>
    <w:rsid w:val="009D3152"/>
    <w:rsid w:val="009D4692"/>
    <w:rsid w:val="009D47CB"/>
    <w:rsid w:val="009D527D"/>
    <w:rsid w:val="009D5973"/>
    <w:rsid w:val="009D59E2"/>
    <w:rsid w:val="009D6710"/>
    <w:rsid w:val="009D78A5"/>
    <w:rsid w:val="009E06C9"/>
    <w:rsid w:val="009E24C5"/>
    <w:rsid w:val="009E5412"/>
    <w:rsid w:val="009E61DB"/>
    <w:rsid w:val="009E7503"/>
    <w:rsid w:val="009E7B23"/>
    <w:rsid w:val="009F08C4"/>
    <w:rsid w:val="009F35A4"/>
    <w:rsid w:val="009F36AE"/>
    <w:rsid w:val="009F3F5A"/>
    <w:rsid w:val="00A01ACA"/>
    <w:rsid w:val="00A0256D"/>
    <w:rsid w:val="00A03763"/>
    <w:rsid w:val="00A03B55"/>
    <w:rsid w:val="00A06526"/>
    <w:rsid w:val="00A06A6A"/>
    <w:rsid w:val="00A07495"/>
    <w:rsid w:val="00A075B0"/>
    <w:rsid w:val="00A12123"/>
    <w:rsid w:val="00A124D9"/>
    <w:rsid w:val="00A1398F"/>
    <w:rsid w:val="00A144E1"/>
    <w:rsid w:val="00A14D83"/>
    <w:rsid w:val="00A163C1"/>
    <w:rsid w:val="00A215A1"/>
    <w:rsid w:val="00A2169B"/>
    <w:rsid w:val="00A21A4C"/>
    <w:rsid w:val="00A220F1"/>
    <w:rsid w:val="00A24571"/>
    <w:rsid w:val="00A25971"/>
    <w:rsid w:val="00A3004F"/>
    <w:rsid w:val="00A31597"/>
    <w:rsid w:val="00A31A77"/>
    <w:rsid w:val="00A3248B"/>
    <w:rsid w:val="00A33A44"/>
    <w:rsid w:val="00A3487D"/>
    <w:rsid w:val="00A3585F"/>
    <w:rsid w:val="00A35C2B"/>
    <w:rsid w:val="00A37A25"/>
    <w:rsid w:val="00A402C3"/>
    <w:rsid w:val="00A41C9D"/>
    <w:rsid w:val="00A420B7"/>
    <w:rsid w:val="00A436EF"/>
    <w:rsid w:val="00A43C86"/>
    <w:rsid w:val="00A4589A"/>
    <w:rsid w:val="00A47A61"/>
    <w:rsid w:val="00A47B75"/>
    <w:rsid w:val="00A517EE"/>
    <w:rsid w:val="00A52C6A"/>
    <w:rsid w:val="00A52CFA"/>
    <w:rsid w:val="00A53716"/>
    <w:rsid w:val="00A55AA8"/>
    <w:rsid w:val="00A56BDE"/>
    <w:rsid w:val="00A57DB2"/>
    <w:rsid w:val="00A636AC"/>
    <w:rsid w:val="00A65978"/>
    <w:rsid w:val="00A65BFB"/>
    <w:rsid w:val="00A67BAD"/>
    <w:rsid w:val="00A67D47"/>
    <w:rsid w:val="00A7030D"/>
    <w:rsid w:val="00A71609"/>
    <w:rsid w:val="00A72162"/>
    <w:rsid w:val="00A741FC"/>
    <w:rsid w:val="00A74937"/>
    <w:rsid w:val="00A75DAE"/>
    <w:rsid w:val="00A75F4E"/>
    <w:rsid w:val="00A819DA"/>
    <w:rsid w:val="00A81BCE"/>
    <w:rsid w:val="00A81FE4"/>
    <w:rsid w:val="00A8405D"/>
    <w:rsid w:val="00A85169"/>
    <w:rsid w:val="00A85F00"/>
    <w:rsid w:val="00A869AF"/>
    <w:rsid w:val="00A87334"/>
    <w:rsid w:val="00A87F37"/>
    <w:rsid w:val="00A90B47"/>
    <w:rsid w:val="00A91777"/>
    <w:rsid w:val="00A925FF"/>
    <w:rsid w:val="00A92E6A"/>
    <w:rsid w:val="00A92FA0"/>
    <w:rsid w:val="00A955D6"/>
    <w:rsid w:val="00A95A9C"/>
    <w:rsid w:val="00A966B0"/>
    <w:rsid w:val="00AA0FFD"/>
    <w:rsid w:val="00AA349C"/>
    <w:rsid w:val="00AA6011"/>
    <w:rsid w:val="00AA66EB"/>
    <w:rsid w:val="00AA7133"/>
    <w:rsid w:val="00AB4507"/>
    <w:rsid w:val="00AC24C3"/>
    <w:rsid w:val="00AC2D57"/>
    <w:rsid w:val="00AC3252"/>
    <w:rsid w:val="00AC72BA"/>
    <w:rsid w:val="00AC738F"/>
    <w:rsid w:val="00AD2076"/>
    <w:rsid w:val="00AD6F5E"/>
    <w:rsid w:val="00AD7781"/>
    <w:rsid w:val="00AE07D6"/>
    <w:rsid w:val="00AE0F52"/>
    <w:rsid w:val="00AE192F"/>
    <w:rsid w:val="00AE2BE8"/>
    <w:rsid w:val="00AE51AB"/>
    <w:rsid w:val="00AE74BF"/>
    <w:rsid w:val="00AF1247"/>
    <w:rsid w:val="00AF2E68"/>
    <w:rsid w:val="00B00707"/>
    <w:rsid w:val="00B0219E"/>
    <w:rsid w:val="00B02EF1"/>
    <w:rsid w:val="00B04345"/>
    <w:rsid w:val="00B05460"/>
    <w:rsid w:val="00B07149"/>
    <w:rsid w:val="00B10257"/>
    <w:rsid w:val="00B104AF"/>
    <w:rsid w:val="00B10ACF"/>
    <w:rsid w:val="00B154A0"/>
    <w:rsid w:val="00B15AE7"/>
    <w:rsid w:val="00B167D5"/>
    <w:rsid w:val="00B170BA"/>
    <w:rsid w:val="00B17E88"/>
    <w:rsid w:val="00B17EBB"/>
    <w:rsid w:val="00B20BCA"/>
    <w:rsid w:val="00B23350"/>
    <w:rsid w:val="00B23C00"/>
    <w:rsid w:val="00B24713"/>
    <w:rsid w:val="00B25405"/>
    <w:rsid w:val="00B30A83"/>
    <w:rsid w:val="00B340D2"/>
    <w:rsid w:val="00B34890"/>
    <w:rsid w:val="00B352BF"/>
    <w:rsid w:val="00B375BD"/>
    <w:rsid w:val="00B40103"/>
    <w:rsid w:val="00B40DA9"/>
    <w:rsid w:val="00B415C4"/>
    <w:rsid w:val="00B42AA0"/>
    <w:rsid w:val="00B46C67"/>
    <w:rsid w:val="00B519FE"/>
    <w:rsid w:val="00B5388A"/>
    <w:rsid w:val="00B53FFE"/>
    <w:rsid w:val="00B54D73"/>
    <w:rsid w:val="00B57AAB"/>
    <w:rsid w:val="00B60ADF"/>
    <w:rsid w:val="00B60E9E"/>
    <w:rsid w:val="00B63205"/>
    <w:rsid w:val="00B66428"/>
    <w:rsid w:val="00B66E2E"/>
    <w:rsid w:val="00B67591"/>
    <w:rsid w:val="00B7076B"/>
    <w:rsid w:val="00B72046"/>
    <w:rsid w:val="00B73C7C"/>
    <w:rsid w:val="00B747CA"/>
    <w:rsid w:val="00B74D9D"/>
    <w:rsid w:val="00B76EE2"/>
    <w:rsid w:val="00B85853"/>
    <w:rsid w:val="00B90C56"/>
    <w:rsid w:val="00B933A8"/>
    <w:rsid w:val="00B949B0"/>
    <w:rsid w:val="00BA60B1"/>
    <w:rsid w:val="00BB0965"/>
    <w:rsid w:val="00BB3932"/>
    <w:rsid w:val="00BB3CAA"/>
    <w:rsid w:val="00BB5C79"/>
    <w:rsid w:val="00BB76FF"/>
    <w:rsid w:val="00BC0BE5"/>
    <w:rsid w:val="00BC0C5E"/>
    <w:rsid w:val="00BC126B"/>
    <w:rsid w:val="00BC1531"/>
    <w:rsid w:val="00BC2C74"/>
    <w:rsid w:val="00BC40F4"/>
    <w:rsid w:val="00BC52AC"/>
    <w:rsid w:val="00BC56F8"/>
    <w:rsid w:val="00BC6AE7"/>
    <w:rsid w:val="00BC70FF"/>
    <w:rsid w:val="00BD0E7E"/>
    <w:rsid w:val="00BD1AD2"/>
    <w:rsid w:val="00BD20CA"/>
    <w:rsid w:val="00BD30B1"/>
    <w:rsid w:val="00BD652F"/>
    <w:rsid w:val="00BE09DB"/>
    <w:rsid w:val="00BE14AA"/>
    <w:rsid w:val="00BE1C8B"/>
    <w:rsid w:val="00BE351B"/>
    <w:rsid w:val="00BE40E2"/>
    <w:rsid w:val="00BE5767"/>
    <w:rsid w:val="00BE73F8"/>
    <w:rsid w:val="00BF2835"/>
    <w:rsid w:val="00BF2A89"/>
    <w:rsid w:val="00BF4CF2"/>
    <w:rsid w:val="00BF7E48"/>
    <w:rsid w:val="00C005E4"/>
    <w:rsid w:val="00C010D8"/>
    <w:rsid w:val="00C01F6C"/>
    <w:rsid w:val="00C035F2"/>
    <w:rsid w:val="00C06CED"/>
    <w:rsid w:val="00C112C5"/>
    <w:rsid w:val="00C11D2B"/>
    <w:rsid w:val="00C137CE"/>
    <w:rsid w:val="00C154AF"/>
    <w:rsid w:val="00C1758F"/>
    <w:rsid w:val="00C22B3D"/>
    <w:rsid w:val="00C24EEE"/>
    <w:rsid w:val="00C25A52"/>
    <w:rsid w:val="00C25E50"/>
    <w:rsid w:val="00C2707B"/>
    <w:rsid w:val="00C27197"/>
    <w:rsid w:val="00C275CB"/>
    <w:rsid w:val="00C30CD2"/>
    <w:rsid w:val="00C316B9"/>
    <w:rsid w:val="00C368FB"/>
    <w:rsid w:val="00C36C93"/>
    <w:rsid w:val="00C37519"/>
    <w:rsid w:val="00C4051E"/>
    <w:rsid w:val="00C4075C"/>
    <w:rsid w:val="00C40B3E"/>
    <w:rsid w:val="00C428A1"/>
    <w:rsid w:val="00C456D6"/>
    <w:rsid w:val="00C51301"/>
    <w:rsid w:val="00C530B2"/>
    <w:rsid w:val="00C53DDE"/>
    <w:rsid w:val="00C572F8"/>
    <w:rsid w:val="00C6190A"/>
    <w:rsid w:val="00C6282B"/>
    <w:rsid w:val="00C64D70"/>
    <w:rsid w:val="00C65D98"/>
    <w:rsid w:val="00C65DB0"/>
    <w:rsid w:val="00C65F40"/>
    <w:rsid w:val="00C679F9"/>
    <w:rsid w:val="00C67AEA"/>
    <w:rsid w:val="00C723AD"/>
    <w:rsid w:val="00C72C0F"/>
    <w:rsid w:val="00C730ED"/>
    <w:rsid w:val="00C7361A"/>
    <w:rsid w:val="00C746D2"/>
    <w:rsid w:val="00C7488B"/>
    <w:rsid w:val="00C77790"/>
    <w:rsid w:val="00C82FD1"/>
    <w:rsid w:val="00C84BC6"/>
    <w:rsid w:val="00C84CF6"/>
    <w:rsid w:val="00C84D9D"/>
    <w:rsid w:val="00C86D67"/>
    <w:rsid w:val="00C8744F"/>
    <w:rsid w:val="00C87FD7"/>
    <w:rsid w:val="00C92327"/>
    <w:rsid w:val="00C938E8"/>
    <w:rsid w:val="00C96AB7"/>
    <w:rsid w:val="00C9754A"/>
    <w:rsid w:val="00C97C2B"/>
    <w:rsid w:val="00CA0F4E"/>
    <w:rsid w:val="00CA1992"/>
    <w:rsid w:val="00CA3805"/>
    <w:rsid w:val="00CA5551"/>
    <w:rsid w:val="00CB43CE"/>
    <w:rsid w:val="00CB7DEF"/>
    <w:rsid w:val="00CB7E3A"/>
    <w:rsid w:val="00CC12CC"/>
    <w:rsid w:val="00CC1E0D"/>
    <w:rsid w:val="00CC4871"/>
    <w:rsid w:val="00CC4BEF"/>
    <w:rsid w:val="00CC5A2B"/>
    <w:rsid w:val="00CD13CD"/>
    <w:rsid w:val="00CD2AB7"/>
    <w:rsid w:val="00CD4A5F"/>
    <w:rsid w:val="00CD5112"/>
    <w:rsid w:val="00CD56C6"/>
    <w:rsid w:val="00CE1F06"/>
    <w:rsid w:val="00CE346F"/>
    <w:rsid w:val="00CE5DEE"/>
    <w:rsid w:val="00CE7044"/>
    <w:rsid w:val="00CF1A81"/>
    <w:rsid w:val="00CF3CD4"/>
    <w:rsid w:val="00CF3E68"/>
    <w:rsid w:val="00CF5A70"/>
    <w:rsid w:val="00CF66E9"/>
    <w:rsid w:val="00CF6B5A"/>
    <w:rsid w:val="00CF7197"/>
    <w:rsid w:val="00CF773D"/>
    <w:rsid w:val="00CF7994"/>
    <w:rsid w:val="00D00214"/>
    <w:rsid w:val="00D06EFF"/>
    <w:rsid w:val="00D078F4"/>
    <w:rsid w:val="00D104FD"/>
    <w:rsid w:val="00D110FD"/>
    <w:rsid w:val="00D14657"/>
    <w:rsid w:val="00D14C23"/>
    <w:rsid w:val="00D161B0"/>
    <w:rsid w:val="00D16E2F"/>
    <w:rsid w:val="00D21C67"/>
    <w:rsid w:val="00D23F77"/>
    <w:rsid w:val="00D240CA"/>
    <w:rsid w:val="00D25E21"/>
    <w:rsid w:val="00D26B2B"/>
    <w:rsid w:val="00D27C81"/>
    <w:rsid w:val="00D3139A"/>
    <w:rsid w:val="00D31865"/>
    <w:rsid w:val="00D320D6"/>
    <w:rsid w:val="00D35064"/>
    <w:rsid w:val="00D35173"/>
    <w:rsid w:val="00D3537E"/>
    <w:rsid w:val="00D35894"/>
    <w:rsid w:val="00D36240"/>
    <w:rsid w:val="00D369B8"/>
    <w:rsid w:val="00D36A38"/>
    <w:rsid w:val="00D3708F"/>
    <w:rsid w:val="00D371F4"/>
    <w:rsid w:val="00D40D88"/>
    <w:rsid w:val="00D4145F"/>
    <w:rsid w:val="00D41506"/>
    <w:rsid w:val="00D45CA3"/>
    <w:rsid w:val="00D45E6D"/>
    <w:rsid w:val="00D462B9"/>
    <w:rsid w:val="00D471F8"/>
    <w:rsid w:val="00D504CD"/>
    <w:rsid w:val="00D513DA"/>
    <w:rsid w:val="00D551E4"/>
    <w:rsid w:val="00D61E47"/>
    <w:rsid w:val="00D61F01"/>
    <w:rsid w:val="00D62A68"/>
    <w:rsid w:val="00D62B83"/>
    <w:rsid w:val="00D62BC1"/>
    <w:rsid w:val="00D6326A"/>
    <w:rsid w:val="00D639A2"/>
    <w:rsid w:val="00D63AD3"/>
    <w:rsid w:val="00D63E72"/>
    <w:rsid w:val="00D65123"/>
    <w:rsid w:val="00D66D3F"/>
    <w:rsid w:val="00D67008"/>
    <w:rsid w:val="00D7000C"/>
    <w:rsid w:val="00D7057A"/>
    <w:rsid w:val="00D75F1F"/>
    <w:rsid w:val="00D76EE8"/>
    <w:rsid w:val="00D770DC"/>
    <w:rsid w:val="00D81347"/>
    <w:rsid w:val="00D856A2"/>
    <w:rsid w:val="00D86A1D"/>
    <w:rsid w:val="00D86D51"/>
    <w:rsid w:val="00D90FDD"/>
    <w:rsid w:val="00D910CB"/>
    <w:rsid w:val="00D932C2"/>
    <w:rsid w:val="00D936FF"/>
    <w:rsid w:val="00D958E1"/>
    <w:rsid w:val="00D96D00"/>
    <w:rsid w:val="00D978B6"/>
    <w:rsid w:val="00DA1C61"/>
    <w:rsid w:val="00DA38F1"/>
    <w:rsid w:val="00DA7D67"/>
    <w:rsid w:val="00DB1FFE"/>
    <w:rsid w:val="00DB28BC"/>
    <w:rsid w:val="00DB4ED8"/>
    <w:rsid w:val="00DC07BC"/>
    <w:rsid w:val="00DC1779"/>
    <w:rsid w:val="00DC3980"/>
    <w:rsid w:val="00DC3AE1"/>
    <w:rsid w:val="00DC542B"/>
    <w:rsid w:val="00DC72FB"/>
    <w:rsid w:val="00DC79CF"/>
    <w:rsid w:val="00DD0685"/>
    <w:rsid w:val="00DD0BD5"/>
    <w:rsid w:val="00DD2F72"/>
    <w:rsid w:val="00DD3C05"/>
    <w:rsid w:val="00DD47DE"/>
    <w:rsid w:val="00DE08CD"/>
    <w:rsid w:val="00DE4690"/>
    <w:rsid w:val="00DE58DF"/>
    <w:rsid w:val="00DE79AB"/>
    <w:rsid w:val="00DF0B7B"/>
    <w:rsid w:val="00DF11A1"/>
    <w:rsid w:val="00DF18E9"/>
    <w:rsid w:val="00DF41C6"/>
    <w:rsid w:val="00DF4436"/>
    <w:rsid w:val="00DF472D"/>
    <w:rsid w:val="00DF4E57"/>
    <w:rsid w:val="00DF4FF9"/>
    <w:rsid w:val="00E007C3"/>
    <w:rsid w:val="00E040AA"/>
    <w:rsid w:val="00E04C18"/>
    <w:rsid w:val="00E07187"/>
    <w:rsid w:val="00E07646"/>
    <w:rsid w:val="00E11670"/>
    <w:rsid w:val="00E123E8"/>
    <w:rsid w:val="00E13BAB"/>
    <w:rsid w:val="00E141E0"/>
    <w:rsid w:val="00E164AA"/>
    <w:rsid w:val="00E17142"/>
    <w:rsid w:val="00E22467"/>
    <w:rsid w:val="00E2764B"/>
    <w:rsid w:val="00E31557"/>
    <w:rsid w:val="00E32D8C"/>
    <w:rsid w:val="00E32ED0"/>
    <w:rsid w:val="00E3349D"/>
    <w:rsid w:val="00E36204"/>
    <w:rsid w:val="00E372F5"/>
    <w:rsid w:val="00E376DB"/>
    <w:rsid w:val="00E404DB"/>
    <w:rsid w:val="00E41435"/>
    <w:rsid w:val="00E42232"/>
    <w:rsid w:val="00E42655"/>
    <w:rsid w:val="00E433AE"/>
    <w:rsid w:val="00E447B3"/>
    <w:rsid w:val="00E4511C"/>
    <w:rsid w:val="00E46905"/>
    <w:rsid w:val="00E50342"/>
    <w:rsid w:val="00E5053C"/>
    <w:rsid w:val="00E512D8"/>
    <w:rsid w:val="00E527CC"/>
    <w:rsid w:val="00E52BB4"/>
    <w:rsid w:val="00E53327"/>
    <w:rsid w:val="00E53717"/>
    <w:rsid w:val="00E542B2"/>
    <w:rsid w:val="00E552B6"/>
    <w:rsid w:val="00E568A7"/>
    <w:rsid w:val="00E56C4D"/>
    <w:rsid w:val="00E572EB"/>
    <w:rsid w:val="00E57B9F"/>
    <w:rsid w:val="00E66FF7"/>
    <w:rsid w:val="00E6714E"/>
    <w:rsid w:val="00E67172"/>
    <w:rsid w:val="00E678F8"/>
    <w:rsid w:val="00E70C60"/>
    <w:rsid w:val="00E71E18"/>
    <w:rsid w:val="00E71EBC"/>
    <w:rsid w:val="00E73656"/>
    <w:rsid w:val="00E815E2"/>
    <w:rsid w:val="00E819EC"/>
    <w:rsid w:val="00E81B28"/>
    <w:rsid w:val="00E81DCA"/>
    <w:rsid w:val="00E8255F"/>
    <w:rsid w:val="00E82B59"/>
    <w:rsid w:val="00E83805"/>
    <w:rsid w:val="00E83AA2"/>
    <w:rsid w:val="00E86227"/>
    <w:rsid w:val="00E86A1D"/>
    <w:rsid w:val="00E86D74"/>
    <w:rsid w:val="00E87203"/>
    <w:rsid w:val="00E87A1A"/>
    <w:rsid w:val="00E9009F"/>
    <w:rsid w:val="00E918C6"/>
    <w:rsid w:val="00E9229C"/>
    <w:rsid w:val="00E93FEA"/>
    <w:rsid w:val="00E94780"/>
    <w:rsid w:val="00E94F97"/>
    <w:rsid w:val="00E97B20"/>
    <w:rsid w:val="00EA077A"/>
    <w:rsid w:val="00EA0A66"/>
    <w:rsid w:val="00EA3166"/>
    <w:rsid w:val="00EA3CB0"/>
    <w:rsid w:val="00EA7CCE"/>
    <w:rsid w:val="00EB09D1"/>
    <w:rsid w:val="00EB2029"/>
    <w:rsid w:val="00EB3092"/>
    <w:rsid w:val="00EB66CB"/>
    <w:rsid w:val="00EB67A9"/>
    <w:rsid w:val="00EC0786"/>
    <w:rsid w:val="00EC14C9"/>
    <w:rsid w:val="00EC30C6"/>
    <w:rsid w:val="00EC5996"/>
    <w:rsid w:val="00EC77D3"/>
    <w:rsid w:val="00ED0333"/>
    <w:rsid w:val="00ED0EB2"/>
    <w:rsid w:val="00ED1498"/>
    <w:rsid w:val="00ED1560"/>
    <w:rsid w:val="00ED1C32"/>
    <w:rsid w:val="00ED339B"/>
    <w:rsid w:val="00ED3449"/>
    <w:rsid w:val="00ED39D6"/>
    <w:rsid w:val="00ED6E8A"/>
    <w:rsid w:val="00EE0BCB"/>
    <w:rsid w:val="00EE372C"/>
    <w:rsid w:val="00EE39DE"/>
    <w:rsid w:val="00EE59B7"/>
    <w:rsid w:val="00EE750B"/>
    <w:rsid w:val="00EF0E06"/>
    <w:rsid w:val="00EF2B61"/>
    <w:rsid w:val="00EF5562"/>
    <w:rsid w:val="00EF6E20"/>
    <w:rsid w:val="00F00F45"/>
    <w:rsid w:val="00F010B8"/>
    <w:rsid w:val="00F01844"/>
    <w:rsid w:val="00F01D85"/>
    <w:rsid w:val="00F03718"/>
    <w:rsid w:val="00F03B1D"/>
    <w:rsid w:val="00F042CE"/>
    <w:rsid w:val="00F05A63"/>
    <w:rsid w:val="00F06BAD"/>
    <w:rsid w:val="00F07EE7"/>
    <w:rsid w:val="00F1211F"/>
    <w:rsid w:val="00F20B86"/>
    <w:rsid w:val="00F22305"/>
    <w:rsid w:val="00F2327E"/>
    <w:rsid w:val="00F24969"/>
    <w:rsid w:val="00F24D40"/>
    <w:rsid w:val="00F25114"/>
    <w:rsid w:val="00F27686"/>
    <w:rsid w:val="00F27D78"/>
    <w:rsid w:val="00F33EB2"/>
    <w:rsid w:val="00F35B30"/>
    <w:rsid w:val="00F362F5"/>
    <w:rsid w:val="00F3645E"/>
    <w:rsid w:val="00F37C3B"/>
    <w:rsid w:val="00F40BD1"/>
    <w:rsid w:val="00F42384"/>
    <w:rsid w:val="00F424F7"/>
    <w:rsid w:val="00F42877"/>
    <w:rsid w:val="00F44BC5"/>
    <w:rsid w:val="00F46EFE"/>
    <w:rsid w:val="00F50857"/>
    <w:rsid w:val="00F518AB"/>
    <w:rsid w:val="00F53CB1"/>
    <w:rsid w:val="00F544B4"/>
    <w:rsid w:val="00F57F75"/>
    <w:rsid w:val="00F606E6"/>
    <w:rsid w:val="00F61A3F"/>
    <w:rsid w:val="00F66A59"/>
    <w:rsid w:val="00F66EB8"/>
    <w:rsid w:val="00F67691"/>
    <w:rsid w:val="00F67DBF"/>
    <w:rsid w:val="00F70C76"/>
    <w:rsid w:val="00F71657"/>
    <w:rsid w:val="00F72F72"/>
    <w:rsid w:val="00F74C9C"/>
    <w:rsid w:val="00F74DD2"/>
    <w:rsid w:val="00F75B01"/>
    <w:rsid w:val="00F76610"/>
    <w:rsid w:val="00F814EB"/>
    <w:rsid w:val="00F83C01"/>
    <w:rsid w:val="00F90B6B"/>
    <w:rsid w:val="00F91729"/>
    <w:rsid w:val="00F94349"/>
    <w:rsid w:val="00F95311"/>
    <w:rsid w:val="00F95442"/>
    <w:rsid w:val="00F955BC"/>
    <w:rsid w:val="00F968C0"/>
    <w:rsid w:val="00F97BB6"/>
    <w:rsid w:val="00FA2236"/>
    <w:rsid w:val="00FA312B"/>
    <w:rsid w:val="00FA3653"/>
    <w:rsid w:val="00FA4485"/>
    <w:rsid w:val="00FA6326"/>
    <w:rsid w:val="00FA6DEA"/>
    <w:rsid w:val="00FA6FD9"/>
    <w:rsid w:val="00FA7910"/>
    <w:rsid w:val="00FB2F82"/>
    <w:rsid w:val="00FB3DD4"/>
    <w:rsid w:val="00FB5BF7"/>
    <w:rsid w:val="00FB5FCD"/>
    <w:rsid w:val="00FB7AFF"/>
    <w:rsid w:val="00FB7B8E"/>
    <w:rsid w:val="00FC0914"/>
    <w:rsid w:val="00FC0D8B"/>
    <w:rsid w:val="00FC2071"/>
    <w:rsid w:val="00FD1FFE"/>
    <w:rsid w:val="00FD341F"/>
    <w:rsid w:val="00FD4128"/>
    <w:rsid w:val="00FD4596"/>
    <w:rsid w:val="00FD52AE"/>
    <w:rsid w:val="00FD5C95"/>
    <w:rsid w:val="00FD6EBC"/>
    <w:rsid w:val="00FE1724"/>
    <w:rsid w:val="00FE1796"/>
    <w:rsid w:val="00FE1FEA"/>
    <w:rsid w:val="00FE204E"/>
    <w:rsid w:val="00FE20F5"/>
    <w:rsid w:val="00FE2D00"/>
    <w:rsid w:val="00FE36E1"/>
    <w:rsid w:val="00FE38E1"/>
    <w:rsid w:val="00FE51E6"/>
    <w:rsid w:val="00FE627C"/>
    <w:rsid w:val="00FE643E"/>
    <w:rsid w:val="00FE6968"/>
    <w:rsid w:val="00FF0068"/>
    <w:rsid w:val="00FF6028"/>
    <w:rsid w:val="00FF6DC8"/>
    <w:rsid w:val="00FF74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6830E5"/>
  <w15:chartTrackingRefBased/>
  <w15:docId w15:val="{29C59707-6115-4C35-A4BF-97001F1833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154A0"/>
    <w:pPr>
      <w:widowControl w:val="0"/>
      <w:jc w:val="both"/>
    </w:pPr>
    <w:rPr>
      <w:rFonts w:ascii="Times New Roman" w:eastAsia="宋体" w:hAnsi="Times New Roman"/>
      <w:sz w:val="22"/>
    </w:rPr>
  </w:style>
  <w:style w:type="paragraph" w:styleId="1">
    <w:name w:val="heading 1"/>
    <w:basedOn w:val="a"/>
    <w:next w:val="a"/>
    <w:link w:val="10"/>
    <w:uiPriority w:val="9"/>
    <w:qFormat/>
    <w:rsid w:val="0084483C"/>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84483C"/>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unhideWhenUsed/>
    <w:qFormat/>
    <w:rsid w:val="0084483C"/>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84483C"/>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84483C"/>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84483C"/>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84483C"/>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84483C"/>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84483C"/>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4483C"/>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84483C"/>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rsid w:val="0084483C"/>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84483C"/>
    <w:rPr>
      <w:rFonts w:cstheme="majorBidi"/>
      <w:color w:val="0F4761" w:themeColor="accent1" w:themeShade="BF"/>
      <w:sz w:val="28"/>
      <w:szCs w:val="28"/>
    </w:rPr>
  </w:style>
  <w:style w:type="character" w:customStyle="1" w:styleId="50">
    <w:name w:val="标题 5 字符"/>
    <w:basedOn w:val="a0"/>
    <w:link w:val="5"/>
    <w:uiPriority w:val="9"/>
    <w:semiHidden/>
    <w:rsid w:val="0084483C"/>
    <w:rPr>
      <w:rFonts w:cstheme="majorBidi"/>
      <w:color w:val="0F4761" w:themeColor="accent1" w:themeShade="BF"/>
      <w:sz w:val="24"/>
      <w:szCs w:val="24"/>
    </w:rPr>
  </w:style>
  <w:style w:type="character" w:customStyle="1" w:styleId="60">
    <w:name w:val="标题 6 字符"/>
    <w:basedOn w:val="a0"/>
    <w:link w:val="6"/>
    <w:uiPriority w:val="9"/>
    <w:semiHidden/>
    <w:rsid w:val="0084483C"/>
    <w:rPr>
      <w:rFonts w:cstheme="majorBidi"/>
      <w:b/>
      <w:bCs/>
      <w:color w:val="0F4761" w:themeColor="accent1" w:themeShade="BF"/>
    </w:rPr>
  </w:style>
  <w:style w:type="character" w:customStyle="1" w:styleId="70">
    <w:name w:val="标题 7 字符"/>
    <w:basedOn w:val="a0"/>
    <w:link w:val="7"/>
    <w:uiPriority w:val="9"/>
    <w:semiHidden/>
    <w:rsid w:val="0084483C"/>
    <w:rPr>
      <w:rFonts w:cstheme="majorBidi"/>
      <w:b/>
      <w:bCs/>
      <w:color w:val="595959" w:themeColor="text1" w:themeTint="A6"/>
    </w:rPr>
  </w:style>
  <w:style w:type="character" w:customStyle="1" w:styleId="80">
    <w:name w:val="标题 8 字符"/>
    <w:basedOn w:val="a0"/>
    <w:link w:val="8"/>
    <w:uiPriority w:val="9"/>
    <w:semiHidden/>
    <w:rsid w:val="0084483C"/>
    <w:rPr>
      <w:rFonts w:cstheme="majorBidi"/>
      <w:color w:val="595959" w:themeColor="text1" w:themeTint="A6"/>
    </w:rPr>
  </w:style>
  <w:style w:type="character" w:customStyle="1" w:styleId="90">
    <w:name w:val="标题 9 字符"/>
    <w:basedOn w:val="a0"/>
    <w:link w:val="9"/>
    <w:uiPriority w:val="9"/>
    <w:semiHidden/>
    <w:rsid w:val="0084483C"/>
    <w:rPr>
      <w:rFonts w:eastAsiaTheme="majorEastAsia" w:cstheme="majorBidi"/>
      <w:color w:val="595959" w:themeColor="text1" w:themeTint="A6"/>
    </w:rPr>
  </w:style>
  <w:style w:type="paragraph" w:styleId="a3">
    <w:name w:val="Title"/>
    <w:basedOn w:val="a"/>
    <w:next w:val="a"/>
    <w:link w:val="a4"/>
    <w:uiPriority w:val="10"/>
    <w:qFormat/>
    <w:rsid w:val="0084483C"/>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84483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84483C"/>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84483C"/>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84483C"/>
    <w:pPr>
      <w:spacing w:before="160" w:after="160"/>
      <w:jc w:val="center"/>
    </w:pPr>
    <w:rPr>
      <w:i/>
      <w:iCs/>
      <w:color w:val="404040" w:themeColor="text1" w:themeTint="BF"/>
    </w:rPr>
  </w:style>
  <w:style w:type="character" w:customStyle="1" w:styleId="a8">
    <w:name w:val="引用 字符"/>
    <w:basedOn w:val="a0"/>
    <w:link w:val="a7"/>
    <w:uiPriority w:val="29"/>
    <w:rsid w:val="0084483C"/>
    <w:rPr>
      <w:i/>
      <w:iCs/>
      <w:color w:val="404040" w:themeColor="text1" w:themeTint="BF"/>
    </w:rPr>
  </w:style>
  <w:style w:type="paragraph" w:styleId="a9">
    <w:name w:val="List Paragraph"/>
    <w:basedOn w:val="a"/>
    <w:uiPriority w:val="34"/>
    <w:qFormat/>
    <w:rsid w:val="0084483C"/>
    <w:pPr>
      <w:ind w:left="720"/>
      <w:contextualSpacing/>
    </w:pPr>
  </w:style>
  <w:style w:type="character" w:styleId="aa">
    <w:name w:val="Intense Emphasis"/>
    <w:basedOn w:val="a0"/>
    <w:uiPriority w:val="21"/>
    <w:qFormat/>
    <w:rsid w:val="0084483C"/>
    <w:rPr>
      <w:i/>
      <w:iCs/>
      <w:color w:val="0F4761" w:themeColor="accent1" w:themeShade="BF"/>
    </w:rPr>
  </w:style>
  <w:style w:type="paragraph" w:styleId="ab">
    <w:name w:val="Intense Quote"/>
    <w:basedOn w:val="a"/>
    <w:next w:val="a"/>
    <w:link w:val="ac"/>
    <w:uiPriority w:val="30"/>
    <w:qFormat/>
    <w:rsid w:val="0084483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84483C"/>
    <w:rPr>
      <w:i/>
      <w:iCs/>
      <w:color w:val="0F4761" w:themeColor="accent1" w:themeShade="BF"/>
    </w:rPr>
  </w:style>
  <w:style w:type="character" w:styleId="ad">
    <w:name w:val="Intense Reference"/>
    <w:basedOn w:val="a0"/>
    <w:uiPriority w:val="32"/>
    <w:qFormat/>
    <w:rsid w:val="0084483C"/>
    <w:rPr>
      <w:b/>
      <w:bCs/>
      <w:smallCaps/>
      <w:color w:val="0F4761" w:themeColor="accent1" w:themeShade="BF"/>
      <w:spacing w:val="5"/>
    </w:rPr>
  </w:style>
  <w:style w:type="character" w:styleId="ae">
    <w:name w:val="Hyperlink"/>
    <w:basedOn w:val="a0"/>
    <w:uiPriority w:val="99"/>
    <w:unhideWhenUsed/>
    <w:rsid w:val="00100C7E"/>
    <w:rPr>
      <w:color w:val="467886" w:themeColor="hyperlink"/>
      <w:u w:val="single"/>
    </w:rPr>
  </w:style>
  <w:style w:type="character" w:styleId="af">
    <w:name w:val="Unresolved Mention"/>
    <w:basedOn w:val="a0"/>
    <w:uiPriority w:val="99"/>
    <w:semiHidden/>
    <w:unhideWhenUsed/>
    <w:rsid w:val="00100C7E"/>
    <w:rPr>
      <w:color w:val="605E5C"/>
      <w:shd w:val="clear" w:color="auto" w:fill="E1DFDD"/>
    </w:rPr>
  </w:style>
  <w:style w:type="character" w:styleId="af0">
    <w:name w:val="Emphasis"/>
    <w:basedOn w:val="a0"/>
    <w:uiPriority w:val="20"/>
    <w:qFormat/>
    <w:rsid w:val="00A41C9D"/>
    <w:rPr>
      <w:i/>
      <w:iCs/>
    </w:rPr>
  </w:style>
  <w:style w:type="character" w:customStyle="1" w:styleId="src">
    <w:name w:val="src"/>
    <w:basedOn w:val="a0"/>
    <w:qFormat/>
    <w:rsid w:val="00A41C9D"/>
  </w:style>
  <w:style w:type="paragraph" w:customStyle="1" w:styleId="MDPI21heading1">
    <w:name w:val="MDPI_2.1_heading1"/>
    <w:qFormat/>
    <w:rsid w:val="00FA6FD9"/>
    <w:pPr>
      <w:adjustRightInd w:val="0"/>
      <w:snapToGrid w:val="0"/>
      <w:spacing w:before="240" w:after="60" w:line="228" w:lineRule="auto"/>
      <w:ind w:left="2608"/>
      <w:outlineLvl w:val="0"/>
    </w:pPr>
    <w:rPr>
      <w:rFonts w:ascii="Palatino Linotype" w:eastAsia="Times New Roman" w:hAnsi="Palatino Linotype" w:cs="Times New Roman"/>
      <w:b/>
      <w:snapToGrid w:val="0"/>
      <w:color w:val="000000"/>
      <w:kern w:val="0"/>
      <w:sz w:val="20"/>
      <w:lang w:eastAsia="de-DE" w:bidi="en-US"/>
    </w:rPr>
  </w:style>
  <w:style w:type="paragraph" w:customStyle="1" w:styleId="MDPI31text">
    <w:name w:val="MDPI_3.1_text"/>
    <w:qFormat/>
    <w:rsid w:val="00FA6FD9"/>
    <w:pPr>
      <w:adjustRightInd w:val="0"/>
      <w:snapToGrid w:val="0"/>
      <w:spacing w:line="228" w:lineRule="auto"/>
      <w:ind w:left="2608" w:firstLine="425"/>
      <w:jc w:val="both"/>
    </w:pPr>
    <w:rPr>
      <w:rFonts w:ascii="Palatino Linotype" w:eastAsia="Times New Roman" w:hAnsi="Palatino Linotype" w:cs="Times New Roman"/>
      <w:snapToGrid w:val="0"/>
      <w:color w:val="000000"/>
      <w:kern w:val="0"/>
      <w:sz w:val="20"/>
      <w:lang w:eastAsia="de-DE" w:bidi="en-US"/>
    </w:rPr>
  </w:style>
  <w:style w:type="paragraph" w:customStyle="1" w:styleId="MDPI22heading2">
    <w:name w:val="MDPI_2.2_heading2"/>
    <w:qFormat/>
    <w:rsid w:val="00E6714E"/>
    <w:pPr>
      <w:adjustRightInd w:val="0"/>
      <w:snapToGrid w:val="0"/>
      <w:spacing w:before="60" w:after="60" w:line="228" w:lineRule="auto"/>
      <w:ind w:left="2608"/>
      <w:outlineLvl w:val="1"/>
    </w:pPr>
    <w:rPr>
      <w:rFonts w:ascii="Palatino Linotype" w:eastAsia="Times New Roman" w:hAnsi="Palatino Linotype" w:cs="Times New Roman"/>
      <w:i/>
      <w:noProof/>
      <w:snapToGrid w:val="0"/>
      <w:color w:val="000000"/>
      <w:sz w:val="20"/>
      <w:lang w:eastAsia="de-DE" w:bidi="en-US"/>
      <w14:ligatures w14:val="standardContextual"/>
    </w:rPr>
  </w:style>
  <w:style w:type="paragraph" w:customStyle="1" w:styleId="MDPI32textnoindent">
    <w:name w:val="MDPI_3.2_text_no_indent"/>
    <w:basedOn w:val="MDPI31text"/>
    <w:qFormat/>
    <w:rsid w:val="00E6714E"/>
    <w:pPr>
      <w:ind w:firstLine="0"/>
    </w:pPr>
    <w:rPr>
      <w:kern w:val="2"/>
      <w14:ligatures w14:val="standardContextual"/>
    </w:rPr>
  </w:style>
  <w:style w:type="paragraph" w:customStyle="1" w:styleId="MDPI23heading3">
    <w:name w:val="MDPI_2.3_heading3"/>
    <w:qFormat/>
    <w:rsid w:val="00E6714E"/>
    <w:pPr>
      <w:adjustRightInd w:val="0"/>
      <w:snapToGrid w:val="0"/>
      <w:spacing w:before="60" w:after="60" w:line="228" w:lineRule="auto"/>
      <w:ind w:left="2608"/>
      <w:outlineLvl w:val="2"/>
    </w:pPr>
    <w:rPr>
      <w:rFonts w:ascii="Palatino Linotype" w:eastAsia="Times New Roman" w:hAnsi="Palatino Linotype" w:cs="Times New Roman"/>
      <w:snapToGrid w:val="0"/>
      <w:color w:val="000000"/>
      <w:sz w:val="20"/>
      <w:lang w:eastAsia="de-DE" w:bidi="en-US"/>
      <w14:ligatures w14:val="standardContextual"/>
    </w:rPr>
  </w:style>
  <w:style w:type="paragraph" w:customStyle="1" w:styleId="MDPI62BackMatter">
    <w:name w:val="MDPI_6.2_BackMatter"/>
    <w:qFormat/>
    <w:rsid w:val="00E6714E"/>
    <w:pPr>
      <w:adjustRightInd w:val="0"/>
      <w:snapToGrid w:val="0"/>
      <w:spacing w:after="120" w:line="228" w:lineRule="auto"/>
      <w:ind w:left="2608"/>
      <w:jc w:val="both"/>
    </w:pPr>
    <w:rPr>
      <w:rFonts w:ascii="Palatino Linotype" w:eastAsia="Times New Roman" w:hAnsi="Palatino Linotype" w:cs="Times New Roman"/>
      <w:snapToGrid w:val="0"/>
      <w:color w:val="000000"/>
      <w:sz w:val="18"/>
      <w:szCs w:val="20"/>
      <w:lang w:eastAsia="en-US" w:bidi="en-US"/>
      <w14:ligatures w14:val="standardContextual"/>
    </w:rPr>
  </w:style>
  <w:style w:type="paragraph" w:styleId="af1">
    <w:name w:val="annotation text"/>
    <w:basedOn w:val="a"/>
    <w:link w:val="af2"/>
    <w:uiPriority w:val="99"/>
    <w:unhideWhenUsed/>
    <w:rsid w:val="00E6714E"/>
    <w:pPr>
      <w:jc w:val="left"/>
    </w:pPr>
  </w:style>
  <w:style w:type="character" w:customStyle="1" w:styleId="af2">
    <w:name w:val="批注文字 字符"/>
    <w:basedOn w:val="a0"/>
    <w:link w:val="af1"/>
    <w:uiPriority w:val="99"/>
    <w:rsid w:val="00E6714E"/>
  </w:style>
  <w:style w:type="paragraph" w:styleId="af3">
    <w:name w:val="annotation subject"/>
    <w:basedOn w:val="af1"/>
    <w:next w:val="af1"/>
    <w:link w:val="af4"/>
    <w:uiPriority w:val="99"/>
    <w:rsid w:val="00E6714E"/>
    <w:pPr>
      <w:widowControl/>
      <w:spacing w:line="260" w:lineRule="atLeast"/>
      <w:jc w:val="both"/>
    </w:pPr>
    <w:rPr>
      <w:rFonts w:ascii="Palatino Linotype" w:hAnsi="Palatino Linotype" w:cs="Times New Roman"/>
      <w:b/>
      <w:bCs/>
      <w:color w:val="000000"/>
      <w:kern w:val="0"/>
      <w:sz w:val="20"/>
      <w:szCs w:val="20"/>
    </w:rPr>
  </w:style>
  <w:style w:type="character" w:customStyle="1" w:styleId="af4">
    <w:name w:val="批注主题 字符"/>
    <w:basedOn w:val="af2"/>
    <w:link w:val="af3"/>
    <w:uiPriority w:val="99"/>
    <w:rsid w:val="00E6714E"/>
    <w:rPr>
      <w:rFonts w:ascii="Palatino Linotype" w:eastAsia="宋体" w:hAnsi="Palatino Linotype" w:cs="Times New Roman"/>
      <w:b/>
      <w:bCs/>
      <w:color w:val="000000"/>
      <w:kern w:val="0"/>
      <w:sz w:val="20"/>
      <w:szCs w:val="20"/>
    </w:rPr>
  </w:style>
  <w:style w:type="character" w:customStyle="1" w:styleId="katex-mathml">
    <w:name w:val="katex-mathml"/>
    <w:basedOn w:val="a0"/>
    <w:rsid w:val="00E6714E"/>
  </w:style>
  <w:style w:type="character" w:styleId="af5">
    <w:name w:val="Strong"/>
    <w:basedOn w:val="a0"/>
    <w:uiPriority w:val="22"/>
    <w:qFormat/>
    <w:rsid w:val="00E6714E"/>
    <w:rPr>
      <w:b/>
      <w:bCs/>
    </w:rPr>
  </w:style>
  <w:style w:type="paragraph" w:styleId="af6">
    <w:name w:val="header"/>
    <w:basedOn w:val="a"/>
    <w:link w:val="af7"/>
    <w:uiPriority w:val="99"/>
    <w:unhideWhenUsed/>
    <w:rsid w:val="007737B8"/>
    <w:pPr>
      <w:tabs>
        <w:tab w:val="center" w:pos="4153"/>
        <w:tab w:val="right" w:pos="8306"/>
      </w:tabs>
      <w:snapToGrid w:val="0"/>
      <w:jc w:val="center"/>
    </w:pPr>
    <w:rPr>
      <w:sz w:val="18"/>
      <w:szCs w:val="18"/>
    </w:rPr>
  </w:style>
  <w:style w:type="character" w:customStyle="1" w:styleId="af7">
    <w:name w:val="页眉 字符"/>
    <w:basedOn w:val="a0"/>
    <w:link w:val="af6"/>
    <w:uiPriority w:val="99"/>
    <w:rsid w:val="007737B8"/>
    <w:rPr>
      <w:rFonts w:ascii="Times New Roman" w:eastAsia="宋体" w:hAnsi="Times New Roman"/>
      <w:sz w:val="18"/>
      <w:szCs w:val="18"/>
    </w:rPr>
  </w:style>
  <w:style w:type="paragraph" w:styleId="af8">
    <w:name w:val="footer"/>
    <w:basedOn w:val="a"/>
    <w:link w:val="af9"/>
    <w:uiPriority w:val="99"/>
    <w:unhideWhenUsed/>
    <w:rsid w:val="007737B8"/>
    <w:pPr>
      <w:tabs>
        <w:tab w:val="center" w:pos="4153"/>
        <w:tab w:val="right" w:pos="8306"/>
      </w:tabs>
      <w:snapToGrid w:val="0"/>
      <w:jc w:val="left"/>
    </w:pPr>
    <w:rPr>
      <w:sz w:val="18"/>
      <w:szCs w:val="18"/>
    </w:rPr>
  </w:style>
  <w:style w:type="character" w:customStyle="1" w:styleId="af9">
    <w:name w:val="页脚 字符"/>
    <w:basedOn w:val="a0"/>
    <w:link w:val="af8"/>
    <w:uiPriority w:val="99"/>
    <w:rsid w:val="007737B8"/>
    <w:rPr>
      <w:rFonts w:ascii="Times New Roman" w:eastAsia="宋体" w:hAnsi="Times New Roman"/>
      <w:sz w:val="18"/>
      <w:szCs w:val="18"/>
    </w:rPr>
  </w:style>
  <w:style w:type="paragraph" w:styleId="afa">
    <w:name w:val="Bibliography"/>
    <w:basedOn w:val="a"/>
    <w:next w:val="a"/>
    <w:uiPriority w:val="37"/>
    <w:unhideWhenUsed/>
    <w:rsid w:val="009D47CB"/>
    <w:pPr>
      <w:tabs>
        <w:tab w:val="left" w:pos="504"/>
      </w:tabs>
      <w:ind w:left="504" w:hanging="504"/>
    </w:pPr>
  </w:style>
  <w:style w:type="paragraph" w:customStyle="1" w:styleId="MDPI51figurecaption">
    <w:name w:val="MDPI_5.1_figure_caption"/>
    <w:qFormat/>
    <w:rsid w:val="005369F0"/>
    <w:pPr>
      <w:adjustRightInd w:val="0"/>
      <w:snapToGrid w:val="0"/>
      <w:spacing w:before="120" w:after="240" w:line="228" w:lineRule="auto"/>
      <w:ind w:left="2608"/>
    </w:pPr>
    <w:rPr>
      <w:rFonts w:ascii="Palatino Linotype" w:eastAsia="Times New Roman" w:hAnsi="Palatino Linotype" w:cs="Times New Roman"/>
      <w:color w:val="000000"/>
      <w:sz w:val="18"/>
      <w:szCs w:val="20"/>
      <w:lang w:eastAsia="de-DE" w:bidi="en-US"/>
      <w14:ligatures w14:val="standardContextual"/>
    </w:rPr>
  </w:style>
  <w:style w:type="table" w:styleId="afb">
    <w:name w:val="Table Grid"/>
    <w:basedOn w:val="a1"/>
    <w:uiPriority w:val="39"/>
    <w:rsid w:val="003F62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c">
    <w:name w:val="Revision"/>
    <w:hidden/>
    <w:uiPriority w:val="99"/>
    <w:semiHidden/>
    <w:rsid w:val="00A163C1"/>
    <w:rPr>
      <w:rFonts w:ascii="Times New Roman" w:eastAsia="宋体" w:hAnsi="Times New Roman"/>
      <w:sz w:val="22"/>
    </w:rPr>
  </w:style>
  <w:style w:type="character" w:styleId="afd">
    <w:name w:val="annotation reference"/>
    <w:basedOn w:val="a0"/>
    <w:uiPriority w:val="99"/>
    <w:semiHidden/>
    <w:unhideWhenUsed/>
    <w:rsid w:val="00027618"/>
    <w:rPr>
      <w:sz w:val="21"/>
      <w:szCs w:val="21"/>
    </w:rPr>
  </w:style>
  <w:style w:type="character" w:styleId="afe">
    <w:name w:val="page number"/>
    <w:basedOn w:val="a0"/>
    <w:uiPriority w:val="99"/>
    <w:semiHidden/>
    <w:unhideWhenUsed/>
    <w:rsid w:val="00063434"/>
  </w:style>
  <w:style w:type="character" w:styleId="aff">
    <w:name w:val="FollowedHyperlink"/>
    <w:basedOn w:val="a0"/>
    <w:uiPriority w:val="99"/>
    <w:semiHidden/>
    <w:unhideWhenUsed/>
    <w:rsid w:val="00F27686"/>
    <w:rPr>
      <w:color w:val="96607D" w:themeColor="followedHyperlink"/>
      <w:u w:val="single"/>
    </w:rPr>
  </w:style>
  <w:style w:type="paragraph" w:styleId="aff0">
    <w:name w:val="Normal (Web)"/>
    <w:basedOn w:val="a"/>
    <w:uiPriority w:val="99"/>
    <w:semiHidden/>
    <w:unhideWhenUsed/>
    <w:rsid w:val="00F20B86"/>
    <w:rPr>
      <w:rFonts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470680">
      <w:bodyDiv w:val="1"/>
      <w:marLeft w:val="0"/>
      <w:marRight w:val="0"/>
      <w:marTop w:val="0"/>
      <w:marBottom w:val="0"/>
      <w:divBdr>
        <w:top w:val="none" w:sz="0" w:space="0" w:color="auto"/>
        <w:left w:val="none" w:sz="0" w:space="0" w:color="auto"/>
        <w:bottom w:val="none" w:sz="0" w:space="0" w:color="auto"/>
        <w:right w:val="none" w:sz="0" w:space="0" w:color="auto"/>
      </w:divBdr>
    </w:div>
    <w:div w:id="29890238">
      <w:bodyDiv w:val="1"/>
      <w:marLeft w:val="0"/>
      <w:marRight w:val="0"/>
      <w:marTop w:val="0"/>
      <w:marBottom w:val="0"/>
      <w:divBdr>
        <w:top w:val="none" w:sz="0" w:space="0" w:color="auto"/>
        <w:left w:val="none" w:sz="0" w:space="0" w:color="auto"/>
        <w:bottom w:val="none" w:sz="0" w:space="0" w:color="auto"/>
        <w:right w:val="none" w:sz="0" w:space="0" w:color="auto"/>
      </w:divBdr>
    </w:div>
    <w:div w:id="55444389">
      <w:bodyDiv w:val="1"/>
      <w:marLeft w:val="0"/>
      <w:marRight w:val="0"/>
      <w:marTop w:val="0"/>
      <w:marBottom w:val="0"/>
      <w:divBdr>
        <w:top w:val="none" w:sz="0" w:space="0" w:color="auto"/>
        <w:left w:val="none" w:sz="0" w:space="0" w:color="auto"/>
        <w:bottom w:val="none" w:sz="0" w:space="0" w:color="auto"/>
        <w:right w:val="none" w:sz="0" w:space="0" w:color="auto"/>
      </w:divBdr>
    </w:div>
    <w:div w:id="56099221">
      <w:bodyDiv w:val="1"/>
      <w:marLeft w:val="0"/>
      <w:marRight w:val="0"/>
      <w:marTop w:val="0"/>
      <w:marBottom w:val="0"/>
      <w:divBdr>
        <w:top w:val="none" w:sz="0" w:space="0" w:color="auto"/>
        <w:left w:val="none" w:sz="0" w:space="0" w:color="auto"/>
        <w:bottom w:val="none" w:sz="0" w:space="0" w:color="auto"/>
        <w:right w:val="none" w:sz="0" w:space="0" w:color="auto"/>
      </w:divBdr>
    </w:div>
    <w:div w:id="61294936">
      <w:bodyDiv w:val="1"/>
      <w:marLeft w:val="0"/>
      <w:marRight w:val="0"/>
      <w:marTop w:val="0"/>
      <w:marBottom w:val="0"/>
      <w:divBdr>
        <w:top w:val="none" w:sz="0" w:space="0" w:color="auto"/>
        <w:left w:val="none" w:sz="0" w:space="0" w:color="auto"/>
        <w:bottom w:val="none" w:sz="0" w:space="0" w:color="auto"/>
        <w:right w:val="none" w:sz="0" w:space="0" w:color="auto"/>
      </w:divBdr>
    </w:div>
    <w:div w:id="65609368">
      <w:bodyDiv w:val="1"/>
      <w:marLeft w:val="0"/>
      <w:marRight w:val="0"/>
      <w:marTop w:val="0"/>
      <w:marBottom w:val="0"/>
      <w:divBdr>
        <w:top w:val="none" w:sz="0" w:space="0" w:color="auto"/>
        <w:left w:val="none" w:sz="0" w:space="0" w:color="auto"/>
        <w:bottom w:val="none" w:sz="0" w:space="0" w:color="auto"/>
        <w:right w:val="none" w:sz="0" w:space="0" w:color="auto"/>
      </w:divBdr>
      <w:divsChild>
        <w:div w:id="2012365542">
          <w:marLeft w:val="0"/>
          <w:marRight w:val="0"/>
          <w:marTop w:val="0"/>
          <w:marBottom w:val="0"/>
          <w:divBdr>
            <w:top w:val="none" w:sz="0" w:space="0" w:color="auto"/>
            <w:left w:val="none" w:sz="0" w:space="0" w:color="auto"/>
            <w:bottom w:val="none" w:sz="0" w:space="0" w:color="auto"/>
            <w:right w:val="none" w:sz="0" w:space="0" w:color="auto"/>
          </w:divBdr>
          <w:divsChild>
            <w:div w:id="1425492870">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71048504">
      <w:bodyDiv w:val="1"/>
      <w:marLeft w:val="0"/>
      <w:marRight w:val="0"/>
      <w:marTop w:val="0"/>
      <w:marBottom w:val="0"/>
      <w:divBdr>
        <w:top w:val="none" w:sz="0" w:space="0" w:color="auto"/>
        <w:left w:val="none" w:sz="0" w:space="0" w:color="auto"/>
        <w:bottom w:val="none" w:sz="0" w:space="0" w:color="auto"/>
        <w:right w:val="none" w:sz="0" w:space="0" w:color="auto"/>
      </w:divBdr>
    </w:div>
    <w:div w:id="78144391">
      <w:bodyDiv w:val="1"/>
      <w:marLeft w:val="0"/>
      <w:marRight w:val="0"/>
      <w:marTop w:val="0"/>
      <w:marBottom w:val="0"/>
      <w:divBdr>
        <w:top w:val="none" w:sz="0" w:space="0" w:color="auto"/>
        <w:left w:val="none" w:sz="0" w:space="0" w:color="auto"/>
        <w:bottom w:val="none" w:sz="0" w:space="0" w:color="auto"/>
        <w:right w:val="none" w:sz="0" w:space="0" w:color="auto"/>
      </w:divBdr>
    </w:div>
    <w:div w:id="78602331">
      <w:bodyDiv w:val="1"/>
      <w:marLeft w:val="0"/>
      <w:marRight w:val="0"/>
      <w:marTop w:val="0"/>
      <w:marBottom w:val="0"/>
      <w:divBdr>
        <w:top w:val="none" w:sz="0" w:space="0" w:color="auto"/>
        <w:left w:val="none" w:sz="0" w:space="0" w:color="auto"/>
        <w:bottom w:val="none" w:sz="0" w:space="0" w:color="auto"/>
        <w:right w:val="none" w:sz="0" w:space="0" w:color="auto"/>
      </w:divBdr>
    </w:div>
    <w:div w:id="98379243">
      <w:bodyDiv w:val="1"/>
      <w:marLeft w:val="0"/>
      <w:marRight w:val="0"/>
      <w:marTop w:val="0"/>
      <w:marBottom w:val="0"/>
      <w:divBdr>
        <w:top w:val="none" w:sz="0" w:space="0" w:color="auto"/>
        <w:left w:val="none" w:sz="0" w:space="0" w:color="auto"/>
        <w:bottom w:val="none" w:sz="0" w:space="0" w:color="auto"/>
        <w:right w:val="none" w:sz="0" w:space="0" w:color="auto"/>
      </w:divBdr>
      <w:divsChild>
        <w:div w:id="1355031631">
          <w:marLeft w:val="0"/>
          <w:marRight w:val="0"/>
          <w:marTop w:val="0"/>
          <w:marBottom w:val="0"/>
          <w:divBdr>
            <w:top w:val="none" w:sz="0" w:space="0" w:color="auto"/>
            <w:left w:val="none" w:sz="0" w:space="0" w:color="auto"/>
            <w:bottom w:val="none" w:sz="0" w:space="0" w:color="auto"/>
            <w:right w:val="none" w:sz="0" w:space="0" w:color="auto"/>
          </w:divBdr>
        </w:div>
      </w:divsChild>
    </w:div>
    <w:div w:id="110437122">
      <w:bodyDiv w:val="1"/>
      <w:marLeft w:val="0"/>
      <w:marRight w:val="0"/>
      <w:marTop w:val="0"/>
      <w:marBottom w:val="0"/>
      <w:divBdr>
        <w:top w:val="none" w:sz="0" w:space="0" w:color="auto"/>
        <w:left w:val="none" w:sz="0" w:space="0" w:color="auto"/>
        <w:bottom w:val="none" w:sz="0" w:space="0" w:color="auto"/>
        <w:right w:val="none" w:sz="0" w:space="0" w:color="auto"/>
      </w:divBdr>
    </w:div>
    <w:div w:id="124088466">
      <w:bodyDiv w:val="1"/>
      <w:marLeft w:val="0"/>
      <w:marRight w:val="0"/>
      <w:marTop w:val="0"/>
      <w:marBottom w:val="0"/>
      <w:divBdr>
        <w:top w:val="none" w:sz="0" w:space="0" w:color="auto"/>
        <w:left w:val="none" w:sz="0" w:space="0" w:color="auto"/>
        <w:bottom w:val="none" w:sz="0" w:space="0" w:color="auto"/>
        <w:right w:val="none" w:sz="0" w:space="0" w:color="auto"/>
      </w:divBdr>
    </w:div>
    <w:div w:id="162014895">
      <w:bodyDiv w:val="1"/>
      <w:marLeft w:val="0"/>
      <w:marRight w:val="0"/>
      <w:marTop w:val="0"/>
      <w:marBottom w:val="0"/>
      <w:divBdr>
        <w:top w:val="none" w:sz="0" w:space="0" w:color="auto"/>
        <w:left w:val="none" w:sz="0" w:space="0" w:color="auto"/>
        <w:bottom w:val="none" w:sz="0" w:space="0" w:color="auto"/>
        <w:right w:val="none" w:sz="0" w:space="0" w:color="auto"/>
      </w:divBdr>
    </w:div>
    <w:div w:id="170029702">
      <w:bodyDiv w:val="1"/>
      <w:marLeft w:val="0"/>
      <w:marRight w:val="0"/>
      <w:marTop w:val="0"/>
      <w:marBottom w:val="0"/>
      <w:divBdr>
        <w:top w:val="none" w:sz="0" w:space="0" w:color="auto"/>
        <w:left w:val="none" w:sz="0" w:space="0" w:color="auto"/>
        <w:bottom w:val="none" w:sz="0" w:space="0" w:color="auto"/>
        <w:right w:val="none" w:sz="0" w:space="0" w:color="auto"/>
      </w:divBdr>
    </w:div>
    <w:div w:id="205215426">
      <w:bodyDiv w:val="1"/>
      <w:marLeft w:val="0"/>
      <w:marRight w:val="0"/>
      <w:marTop w:val="0"/>
      <w:marBottom w:val="0"/>
      <w:divBdr>
        <w:top w:val="none" w:sz="0" w:space="0" w:color="auto"/>
        <w:left w:val="none" w:sz="0" w:space="0" w:color="auto"/>
        <w:bottom w:val="none" w:sz="0" w:space="0" w:color="auto"/>
        <w:right w:val="none" w:sz="0" w:space="0" w:color="auto"/>
      </w:divBdr>
    </w:div>
    <w:div w:id="208997780">
      <w:bodyDiv w:val="1"/>
      <w:marLeft w:val="0"/>
      <w:marRight w:val="0"/>
      <w:marTop w:val="0"/>
      <w:marBottom w:val="0"/>
      <w:divBdr>
        <w:top w:val="none" w:sz="0" w:space="0" w:color="auto"/>
        <w:left w:val="none" w:sz="0" w:space="0" w:color="auto"/>
        <w:bottom w:val="none" w:sz="0" w:space="0" w:color="auto"/>
        <w:right w:val="none" w:sz="0" w:space="0" w:color="auto"/>
      </w:divBdr>
    </w:div>
    <w:div w:id="230192788">
      <w:bodyDiv w:val="1"/>
      <w:marLeft w:val="0"/>
      <w:marRight w:val="0"/>
      <w:marTop w:val="0"/>
      <w:marBottom w:val="0"/>
      <w:divBdr>
        <w:top w:val="none" w:sz="0" w:space="0" w:color="auto"/>
        <w:left w:val="none" w:sz="0" w:space="0" w:color="auto"/>
        <w:bottom w:val="none" w:sz="0" w:space="0" w:color="auto"/>
        <w:right w:val="none" w:sz="0" w:space="0" w:color="auto"/>
      </w:divBdr>
    </w:div>
    <w:div w:id="279262811">
      <w:bodyDiv w:val="1"/>
      <w:marLeft w:val="0"/>
      <w:marRight w:val="0"/>
      <w:marTop w:val="0"/>
      <w:marBottom w:val="0"/>
      <w:divBdr>
        <w:top w:val="none" w:sz="0" w:space="0" w:color="auto"/>
        <w:left w:val="none" w:sz="0" w:space="0" w:color="auto"/>
        <w:bottom w:val="none" w:sz="0" w:space="0" w:color="auto"/>
        <w:right w:val="none" w:sz="0" w:space="0" w:color="auto"/>
      </w:divBdr>
    </w:div>
    <w:div w:id="282613914">
      <w:bodyDiv w:val="1"/>
      <w:marLeft w:val="0"/>
      <w:marRight w:val="0"/>
      <w:marTop w:val="0"/>
      <w:marBottom w:val="0"/>
      <w:divBdr>
        <w:top w:val="none" w:sz="0" w:space="0" w:color="auto"/>
        <w:left w:val="none" w:sz="0" w:space="0" w:color="auto"/>
        <w:bottom w:val="none" w:sz="0" w:space="0" w:color="auto"/>
        <w:right w:val="none" w:sz="0" w:space="0" w:color="auto"/>
      </w:divBdr>
    </w:div>
    <w:div w:id="289944188">
      <w:bodyDiv w:val="1"/>
      <w:marLeft w:val="0"/>
      <w:marRight w:val="0"/>
      <w:marTop w:val="0"/>
      <w:marBottom w:val="0"/>
      <w:divBdr>
        <w:top w:val="none" w:sz="0" w:space="0" w:color="auto"/>
        <w:left w:val="none" w:sz="0" w:space="0" w:color="auto"/>
        <w:bottom w:val="none" w:sz="0" w:space="0" w:color="auto"/>
        <w:right w:val="none" w:sz="0" w:space="0" w:color="auto"/>
      </w:divBdr>
    </w:div>
    <w:div w:id="301421407">
      <w:bodyDiv w:val="1"/>
      <w:marLeft w:val="0"/>
      <w:marRight w:val="0"/>
      <w:marTop w:val="0"/>
      <w:marBottom w:val="0"/>
      <w:divBdr>
        <w:top w:val="none" w:sz="0" w:space="0" w:color="auto"/>
        <w:left w:val="none" w:sz="0" w:space="0" w:color="auto"/>
        <w:bottom w:val="none" w:sz="0" w:space="0" w:color="auto"/>
        <w:right w:val="none" w:sz="0" w:space="0" w:color="auto"/>
      </w:divBdr>
    </w:div>
    <w:div w:id="307055714">
      <w:bodyDiv w:val="1"/>
      <w:marLeft w:val="0"/>
      <w:marRight w:val="0"/>
      <w:marTop w:val="0"/>
      <w:marBottom w:val="0"/>
      <w:divBdr>
        <w:top w:val="none" w:sz="0" w:space="0" w:color="auto"/>
        <w:left w:val="none" w:sz="0" w:space="0" w:color="auto"/>
        <w:bottom w:val="none" w:sz="0" w:space="0" w:color="auto"/>
        <w:right w:val="none" w:sz="0" w:space="0" w:color="auto"/>
      </w:divBdr>
    </w:div>
    <w:div w:id="314187605">
      <w:bodyDiv w:val="1"/>
      <w:marLeft w:val="0"/>
      <w:marRight w:val="0"/>
      <w:marTop w:val="0"/>
      <w:marBottom w:val="0"/>
      <w:divBdr>
        <w:top w:val="none" w:sz="0" w:space="0" w:color="auto"/>
        <w:left w:val="none" w:sz="0" w:space="0" w:color="auto"/>
        <w:bottom w:val="none" w:sz="0" w:space="0" w:color="auto"/>
        <w:right w:val="none" w:sz="0" w:space="0" w:color="auto"/>
      </w:divBdr>
    </w:div>
    <w:div w:id="329673665">
      <w:bodyDiv w:val="1"/>
      <w:marLeft w:val="0"/>
      <w:marRight w:val="0"/>
      <w:marTop w:val="0"/>
      <w:marBottom w:val="0"/>
      <w:divBdr>
        <w:top w:val="none" w:sz="0" w:space="0" w:color="auto"/>
        <w:left w:val="none" w:sz="0" w:space="0" w:color="auto"/>
        <w:bottom w:val="none" w:sz="0" w:space="0" w:color="auto"/>
        <w:right w:val="none" w:sz="0" w:space="0" w:color="auto"/>
      </w:divBdr>
    </w:div>
    <w:div w:id="330720191">
      <w:bodyDiv w:val="1"/>
      <w:marLeft w:val="0"/>
      <w:marRight w:val="0"/>
      <w:marTop w:val="0"/>
      <w:marBottom w:val="0"/>
      <w:divBdr>
        <w:top w:val="none" w:sz="0" w:space="0" w:color="auto"/>
        <w:left w:val="none" w:sz="0" w:space="0" w:color="auto"/>
        <w:bottom w:val="none" w:sz="0" w:space="0" w:color="auto"/>
        <w:right w:val="none" w:sz="0" w:space="0" w:color="auto"/>
      </w:divBdr>
    </w:div>
    <w:div w:id="345251867">
      <w:bodyDiv w:val="1"/>
      <w:marLeft w:val="0"/>
      <w:marRight w:val="0"/>
      <w:marTop w:val="0"/>
      <w:marBottom w:val="0"/>
      <w:divBdr>
        <w:top w:val="none" w:sz="0" w:space="0" w:color="auto"/>
        <w:left w:val="none" w:sz="0" w:space="0" w:color="auto"/>
        <w:bottom w:val="none" w:sz="0" w:space="0" w:color="auto"/>
        <w:right w:val="none" w:sz="0" w:space="0" w:color="auto"/>
      </w:divBdr>
    </w:div>
    <w:div w:id="381057521">
      <w:bodyDiv w:val="1"/>
      <w:marLeft w:val="0"/>
      <w:marRight w:val="0"/>
      <w:marTop w:val="0"/>
      <w:marBottom w:val="0"/>
      <w:divBdr>
        <w:top w:val="none" w:sz="0" w:space="0" w:color="auto"/>
        <w:left w:val="none" w:sz="0" w:space="0" w:color="auto"/>
        <w:bottom w:val="none" w:sz="0" w:space="0" w:color="auto"/>
        <w:right w:val="none" w:sz="0" w:space="0" w:color="auto"/>
      </w:divBdr>
    </w:div>
    <w:div w:id="429089171">
      <w:bodyDiv w:val="1"/>
      <w:marLeft w:val="0"/>
      <w:marRight w:val="0"/>
      <w:marTop w:val="0"/>
      <w:marBottom w:val="0"/>
      <w:divBdr>
        <w:top w:val="none" w:sz="0" w:space="0" w:color="auto"/>
        <w:left w:val="none" w:sz="0" w:space="0" w:color="auto"/>
        <w:bottom w:val="none" w:sz="0" w:space="0" w:color="auto"/>
        <w:right w:val="none" w:sz="0" w:space="0" w:color="auto"/>
      </w:divBdr>
      <w:divsChild>
        <w:div w:id="1185485269">
          <w:marLeft w:val="0"/>
          <w:marRight w:val="0"/>
          <w:marTop w:val="0"/>
          <w:marBottom w:val="0"/>
          <w:divBdr>
            <w:top w:val="none" w:sz="0" w:space="0" w:color="auto"/>
            <w:left w:val="none" w:sz="0" w:space="0" w:color="auto"/>
            <w:bottom w:val="none" w:sz="0" w:space="0" w:color="auto"/>
            <w:right w:val="none" w:sz="0" w:space="0" w:color="auto"/>
          </w:divBdr>
          <w:divsChild>
            <w:div w:id="1310403592">
              <w:marLeft w:val="0"/>
              <w:marRight w:val="0"/>
              <w:marTop w:val="0"/>
              <w:marBottom w:val="0"/>
              <w:divBdr>
                <w:top w:val="none" w:sz="0" w:space="0" w:color="auto"/>
                <w:left w:val="none" w:sz="0" w:space="0" w:color="auto"/>
                <w:bottom w:val="none" w:sz="0" w:space="0" w:color="auto"/>
                <w:right w:val="none" w:sz="0" w:space="0" w:color="auto"/>
              </w:divBdr>
              <w:divsChild>
                <w:div w:id="1087381044">
                  <w:marLeft w:val="0"/>
                  <w:marRight w:val="0"/>
                  <w:marTop w:val="0"/>
                  <w:marBottom w:val="0"/>
                  <w:divBdr>
                    <w:top w:val="none" w:sz="0" w:space="0" w:color="auto"/>
                    <w:left w:val="none" w:sz="0" w:space="0" w:color="auto"/>
                    <w:bottom w:val="none" w:sz="0" w:space="0" w:color="auto"/>
                    <w:right w:val="none" w:sz="0" w:space="0" w:color="auto"/>
                  </w:divBdr>
                  <w:divsChild>
                    <w:div w:id="60766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600292">
      <w:bodyDiv w:val="1"/>
      <w:marLeft w:val="0"/>
      <w:marRight w:val="0"/>
      <w:marTop w:val="0"/>
      <w:marBottom w:val="0"/>
      <w:divBdr>
        <w:top w:val="none" w:sz="0" w:space="0" w:color="auto"/>
        <w:left w:val="none" w:sz="0" w:space="0" w:color="auto"/>
        <w:bottom w:val="none" w:sz="0" w:space="0" w:color="auto"/>
        <w:right w:val="none" w:sz="0" w:space="0" w:color="auto"/>
      </w:divBdr>
    </w:div>
    <w:div w:id="496770726">
      <w:bodyDiv w:val="1"/>
      <w:marLeft w:val="0"/>
      <w:marRight w:val="0"/>
      <w:marTop w:val="0"/>
      <w:marBottom w:val="0"/>
      <w:divBdr>
        <w:top w:val="none" w:sz="0" w:space="0" w:color="auto"/>
        <w:left w:val="none" w:sz="0" w:space="0" w:color="auto"/>
        <w:bottom w:val="none" w:sz="0" w:space="0" w:color="auto"/>
        <w:right w:val="none" w:sz="0" w:space="0" w:color="auto"/>
      </w:divBdr>
    </w:div>
    <w:div w:id="519508427">
      <w:bodyDiv w:val="1"/>
      <w:marLeft w:val="0"/>
      <w:marRight w:val="0"/>
      <w:marTop w:val="0"/>
      <w:marBottom w:val="0"/>
      <w:divBdr>
        <w:top w:val="none" w:sz="0" w:space="0" w:color="auto"/>
        <w:left w:val="none" w:sz="0" w:space="0" w:color="auto"/>
        <w:bottom w:val="none" w:sz="0" w:space="0" w:color="auto"/>
        <w:right w:val="none" w:sz="0" w:space="0" w:color="auto"/>
      </w:divBdr>
      <w:divsChild>
        <w:div w:id="2018848335">
          <w:marLeft w:val="0"/>
          <w:marRight w:val="0"/>
          <w:marTop w:val="0"/>
          <w:marBottom w:val="0"/>
          <w:divBdr>
            <w:top w:val="none" w:sz="0" w:space="0" w:color="auto"/>
            <w:left w:val="none" w:sz="0" w:space="0" w:color="auto"/>
            <w:bottom w:val="none" w:sz="0" w:space="0" w:color="auto"/>
            <w:right w:val="none" w:sz="0" w:space="0" w:color="auto"/>
          </w:divBdr>
          <w:divsChild>
            <w:div w:id="21903954">
              <w:marLeft w:val="0"/>
              <w:marRight w:val="0"/>
              <w:marTop w:val="0"/>
              <w:marBottom w:val="0"/>
              <w:divBdr>
                <w:top w:val="none" w:sz="0" w:space="0" w:color="auto"/>
                <w:left w:val="none" w:sz="0" w:space="0" w:color="auto"/>
                <w:bottom w:val="none" w:sz="0" w:space="0" w:color="auto"/>
                <w:right w:val="none" w:sz="0" w:space="0" w:color="auto"/>
              </w:divBdr>
              <w:divsChild>
                <w:div w:id="2086032687">
                  <w:marLeft w:val="0"/>
                  <w:marRight w:val="0"/>
                  <w:marTop w:val="0"/>
                  <w:marBottom w:val="0"/>
                  <w:divBdr>
                    <w:top w:val="none" w:sz="0" w:space="0" w:color="auto"/>
                    <w:left w:val="none" w:sz="0" w:space="0" w:color="auto"/>
                    <w:bottom w:val="none" w:sz="0" w:space="0" w:color="auto"/>
                    <w:right w:val="none" w:sz="0" w:space="0" w:color="auto"/>
                  </w:divBdr>
                  <w:divsChild>
                    <w:div w:id="542909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0170423">
      <w:bodyDiv w:val="1"/>
      <w:marLeft w:val="0"/>
      <w:marRight w:val="0"/>
      <w:marTop w:val="0"/>
      <w:marBottom w:val="0"/>
      <w:divBdr>
        <w:top w:val="none" w:sz="0" w:space="0" w:color="auto"/>
        <w:left w:val="none" w:sz="0" w:space="0" w:color="auto"/>
        <w:bottom w:val="none" w:sz="0" w:space="0" w:color="auto"/>
        <w:right w:val="none" w:sz="0" w:space="0" w:color="auto"/>
      </w:divBdr>
    </w:div>
    <w:div w:id="520583781">
      <w:bodyDiv w:val="1"/>
      <w:marLeft w:val="0"/>
      <w:marRight w:val="0"/>
      <w:marTop w:val="0"/>
      <w:marBottom w:val="0"/>
      <w:divBdr>
        <w:top w:val="none" w:sz="0" w:space="0" w:color="auto"/>
        <w:left w:val="none" w:sz="0" w:space="0" w:color="auto"/>
        <w:bottom w:val="none" w:sz="0" w:space="0" w:color="auto"/>
        <w:right w:val="none" w:sz="0" w:space="0" w:color="auto"/>
      </w:divBdr>
    </w:div>
    <w:div w:id="528106668">
      <w:bodyDiv w:val="1"/>
      <w:marLeft w:val="0"/>
      <w:marRight w:val="0"/>
      <w:marTop w:val="0"/>
      <w:marBottom w:val="0"/>
      <w:divBdr>
        <w:top w:val="none" w:sz="0" w:space="0" w:color="auto"/>
        <w:left w:val="none" w:sz="0" w:space="0" w:color="auto"/>
        <w:bottom w:val="none" w:sz="0" w:space="0" w:color="auto"/>
        <w:right w:val="none" w:sz="0" w:space="0" w:color="auto"/>
      </w:divBdr>
    </w:div>
    <w:div w:id="563687304">
      <w:bodyDiv w:val="1"/>
      <w:marLeft w:val="0"/>
      <w:marRight w:val="0"/>
      <w:marTop w:val="0"/>
      <w:marBottom w:val="0"/>
      <w:divBdr>
        <w:top w:val="none" w:sz="0" w:space="0" w:color="auto"/>
        <w:left w:val="none" w:sz="0" w:space="0" w:color="auto"/>
        <w:bottom w:val="none" w:sz="0" w:space="0" w:color="auto"/>
        <w:right w:val="none" w:sz="0" w:space="0" w:color="auto"/>
      </w:divBdr>
    </w:div>
    <w:div w:id="609514526">
      <w:bodyDiv w:val="1"/>
      <w:marLeft w:val="0"/>
      <w:marRight w:val="0"/>
      <w:marTop w:val="0"/>
      <w:marBottom w:val="0"/>
      <w:divBdr>
        <w:top w:val="none" w:sz="0" w:space="0" w:color="auto"/>
        <w:left w:val="none" w:sz="0" w:space="0" w:color="auto"/>
        <w:bottom w:val="none" w:sz="0" w:space="0" w:color="auto"/>
        <w:right w:val="none" w:sz="0" w:space="0" w:color="auto"/>
      </w:divBdr>
      <w:divsChild>
        <w:div w:id="1968195027">
          <w:marLeft w:val="0"/>
          <w:marRight w:val="0"/>
          <w:marTop w:val="0"/>
          <w:marBottom w:val="0"/>
          <w:divBdr>
            <w:top w:val="none" w:sz="0" w:space="0" w:color="auto"/>
            <w:left w:val="none" w:sz="0" w:space="0" w:color="auto"/>
            <w:bottom w:val="none" w:sz="0" w:space="0" w:color="auto"/>
            <w:right w:val="none" w:sz="0" w:space="0" w:color="auto"/>
          </w:divBdr>
          <w:divsChild>
            <w:div w:id="592973077">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618801280">
      <w:bodyDiv w:val="1"/>
      <w:marLeft w:val="0"/>
      <w:marRight w:val="0"/>
      <w:marTop w:val="0"/>
      <w:marBottom w:val="0"/>
      <w:divBdr>
        <w:top w:val="none" w:sz="0" w:space="0" w:color="auto"/>
        <w:left w:val="none" w:sz="0" w:space="0" w:color="auto"/>
        <w:bottom w:val="none" w:sz="0" w:space="0" w:color="auto"/>
        <w:right w:val="none" w:sz="0" w:space="0" w:color="auto"/>
      </w:divBdr>
    </w:div>
    <w:div w:id="652834938">
      <w:bodyDiv w:val="1"/>
      <w:marLeft w:val="0"/>
      <w:marRight w:val="0"/>
      <w:marTop w:val="0"/>
      <w:marBottom w:val="0"/>
      <w:divBdr>
        <w:top w:val="none" w:sz="0" w:space="0" w:color="auto"/>
        <w:left w:val="none" w:sz="0" w:space="0" w:color="auto"/>
        <w:bottom w:val="none" w:sz="0" w:space="0" w:color="auto"/>
        <w:right w:val="none" w:sz="0" w:space="0" w:color="auto"/>
      </w:divBdr>
    </w:div>
    <w:div w:id="683090391">
      <w:bodyDiv w:val="1"/>
      <w:marLeft w:val="0"/>
      <w:marRight w:val="0"/>
      <w:marTop w:val="0"/>
      <w:marBottom w:val="0"/>
      <w:divBdr>
        <w:top w:val="none" w:sz="0" w:space="0" w:color="auto"/>
        <w:left w:val="none" w:sz="0" w:space="0" w:color="auto"/>
        <w:bottom w:val="none" w:sz="0" w:space="0" w:color="auto"/>
        <w:right w:val="none" w:sz="0" w:space="0" w:color="auto"/>
      </w:divBdr>
      <w:divsChild>
        <w:div w:id="288323599">
          <w:marLeft w:val="1166"/>
          <w:marRight w:val="0"/>
          <w:marTop w:val="86"/>
          <w:marBottom w:val="80"/>
          <w:divBdr>
            <w:top w:val="none" w:sz="0" w:space="0" w:color="auto"/>
            <w:left w:val="none" w:sz="0" w:space="0" w:color="auto"/>
            <w:bottom w:val="none" w:sz="0" w:space="0" w:color="auto"/>
            <w:right w:val="none" w:sz="0" w:space="0" w:color="auto"/>
          </w:divBdr>
        </w:div>
        <w:div w:id="792946507">
          <w:marLeft w:val="1166"/>
          <w:marRight w:val="0"/>
          <w:marTop w:val="86"/>
          <w:marBottom w:val="80"/>
          <w:divBdr>
            <w:top w:val="none" w:sz="0" w:space="0" w:color="auto"/>
            <w:left w:val="none" w:sz="0" w:space="0" w:color="auto"/>
            <w:bottom w:val="none" w:sz="0" w:space="0" w:color="auto"/>
            <w:right w:val="none" w:sz="0" w:space="0" w:color="auto"/>
          </w:divBdr>
        </w:div>
        <w:div w:id="1812481972">
          <w:marLeft w:val="1166"/>
          <w:marRight w:val="0"/>
          <w:marTop w:val="86"/>
          <w:marBottom w:val="80"/>
          <w:divBdr>
            <w:top w:val="none" w:sz="0" w:space="0" w:color="auto"/>
            <w:left w:val="none" w:sz="0" w:space="0" w:color="auto"/>
            <w:bottom w:val="none" w:sz="0" w:space="0" w:color="auto"/>
            <w:right w:val="none" w:sz="0" w:space="0" w:color="auto"/>
          </w:divBdr>
        </w:div>
        <w:div w:id="2062367679">
          <w:marLeft w:val="1166"/>
          <w:marRight w:val="0"/>
          <w:marTop w:val="86"/>
          <w:marBottom w:val="80"/>
          <w:divBdr>
            <w:top w:val="none" w:sz="0" w:space="0" w:color="auto"/>
            <w:left w:val="none" w:sz="0" w:space="0" w:color="auto"/>
            <w:bottom w:val="none" w:sz="0" w:space="0" w:color="auto"/>
            <w:right w:val="none" w:sz="0" w:space="0" w:color="auto"/>
          </w:divBdr>
        </w:div>
        <w:div w:id="1436636971">
          <w:marLeft w:val="1166"/>
          <w:marRight w:val="0"/>
          <w:marTop w:val="86"/>
          <w:marBottom w:val="80"/>
          <w:divBdr>
            <w:top w:val="none" w:sz="0" w:space="0" w:color="auto"/>
            <w:left w:val="none" w:sz="0" w:space="0" w:color="auto"/>
            <w:bottom w:val="none" w:sz="0" w:space="0" w:color="auto"/>
            <w:right w:val="none" w:sz="0" w:space="0" w:color="auto"/>
          </w:divBdr>
        </w:div>
      </w:divsChild>
    </w:div>
    <w:div w:id="695739840">
      <w:bodyDiv w:val="1"/>
      <w:marLeft w:val="0"/>
      <w:marRight w:val="0"/>
      <w:marTop w:val="0"/>
      <w:marBottom w:val="0"/>
      <w:divBdr>
        <w:top w:val="none" w:sz="0" w:space="0" w:color="auto"/>
        <w:left w:val="none" w:sz="0" w:space="0" w:color="auto"/>
        <w:bottom w:val="none" w:sz="0" w:space="0" w:color="auto"/>
        <w:right w:val="none" w:sz="0" w:space="0" w:color="auto"/>
      </w:divBdr>
    </w:div>
    <w:div w:id="721439358">
      <w:bodyDiv w:val="1"/>
      <w:marLeft w:val="0"/>
      <w:marRight w:val="0"/>
      <w:marTop w:val="0"/>
      <w:marBottom w:val="0"/>
      <w:divBdr>
        <w:top w:val="none" w:sz="0" w:space="0" w:color="auto"/>
        <w:left w:val="none" w:sz="0" w:space="0" w:color="auto"/>
        <w:bottom w:val="none" w:sz="0" w:space="0" w:color="auto"/>
        <w:right w:val="none" w:sz="0" w:space="0" w:color="auto"/>
      </w:divBdr>
      <w:divsChild>
        <w:div w:id="298077954">
          <w:marLeft w:val="0"/>
          <w:marRight w:val="0"/>
          <w:marTop w:val="0"/>
          <w:marBottom w:val="0"/>
          <w:divBdr>
            <w:top w:val="none" w:sz="0" w:space="0" w:color="auto"/>
            <w:left w:val="none" w:sz="0" w:space="0" w:color="auto"/>
            <w:bottom w:val="none" w:sz="0" w:space="0" w:color="auto"/>
            <w:right w:val="none" w:sz="0" w:space="0" w:color="auto"/>
          </w:divBdr>
        </w:div>
      </w:divsChild>
    </w:div>
    <w:div w:id="723871475">
      <w:bodyDiv w:val="1"/>
      <w:marLeft w:val="0"/>
      <w:marRight w:val="0"/>
      <w:marTop w:val="0"/>
      <w:marBottom w:val="0"/>
      <w:divBdr>
        <w:top w:val="none" w:sz="0" w:space="0" w:color="auto"/>
        <w:left w:val="none" w:sz="0" w:space="0" w:color="auto"/>
        <w:bottom w:val="none" w:sz="0" w:space="0" w:color="auto"/>
        <w:right w:val="none" w:sz="0" w:space="0" w:color="auto"/>
      </w:divBdr>
    </w:div>
    <w:div w:id="730999911">
      <w:bodyDiv w:val="1"/>
      <w:marLeft w:val="0"/>
      <w:marRight w:val="0"/>
      <w:marTop w:val="0"/>
      <w:marBottom w:val="0"/>
      <w:divBdr>
        <w:top w:val="none" w:sz="0" w:space="0" w:color="auto"/>
        <w:left w:val="none" w:sz="0" w:space="0" w:color="auto"/>
        <w:bottom w:val="none" w:sz="0" w:space="0" w:color="auto"/>
        <w:right w:val="none" w:sz="0" w:space="0" w:color="auto"/>
      </w:divBdr>
      <w:divsChild>
        <w:div w:id="2129272001">
          <w:marLeft w:val="1166"/>
          <w:marRight w:val="0"/>
          <w:marTop w:val="86"/>
          <w:marBottom w:val="80"/>
          <w:divBdr>
            <w:top w:val="none" w:sz="0" w:space="0" w:color="auto"/>
            <w:left w:val="none" w:sz="0" w:space="0" w:color="auto"/>
            <w:bottom w:val="none" w:sz="0" w:space="0" w:color="auto"/>
            <w:right w:val="none" w:sz="0" w:space="0" w:color="auto"/>
          </w:divBdr>
        </w:div>
      </w:divsChild>
    </w:div>
    <w:div w:id="748425094">
      <w:bodyDiv w:val="1"/>
      <w:marLeft w:val="0"/>
      <w:marRight w:val="0"/>
      <w:marTop w:val="0"/>
      <w:marBottom w:val="0"/>
      <w:divBdr>
        <w:top w:val="none" w:sz="0" w:space="0" w:color="auto"/>
        <w:left w:val="none" w:sz="0" w:space="0" w:color="auto"/>
        <w:bottom w:val="none" w:sz="0" w:space="0" w:color="auto"/>
        <w:right w:val="none" w:sz="0" w:space="0" w:color="auto"/>
      </w:divBdr>
    </w:div>
    <w:div w:id="751243983">
      <w:bodyDiv w:val="1"/>
      <w:marLeft w:val="0"/>
      <w:marRight w:val="0"/>
      <w:marTop w:val="0"/>
      <w:marBottom w:val="0"/>
      <w:divBdr>
        <w:top w:val="none" w:sz="0" w:space="0" w:color="auto"/>
        <w:left w:val="none" w:sz="0" w:space="0" w:color="auto"/>
        <w:bottom w:val="none" w:sz="0" w:space="0" w:color="auto"/>
        <w:right w:val="none" w:sz="0" w:space="0" w:color="auto"/>
      </w:divBdr>
    </w:div>
    <w:div w:id="771122569">
      <w:bodyDiv w:val="1"/>
      <w:marLeft w:val="0"/>
      <w:marRight w:val="0"/>
      <w:marTop w:val="0"/>
      <w:marBottom w:val="0"/>
      <w:divBdr>
        <w:top w:val="none" w:sz="0" w:space="0" w:color="auto"/>
        <w:left w:val="none" w:sz="0" w:space="0" w:color="auto"/>
        <w:bottom w:val="none" w:sz="0" w:space="0" w:color="auto"/>
        <w:right w:val="none" w:sz="0" w:space="0" w:color="auto"/>
      </w:divBdr>
    </w:div>
    <w:div w:id="778180439">
      <w:bodyDiv w:val="1"/>
      <w:marLeft w:val="0"/>
      <w:marRight w:val="0"/>
      <w:marTop w:val="0"/>
      <w:marBottom w:val="0"/>
      <w:divBdr>
        <w:top w:val="none" w:sz="0" w:space="0" w:color="auto"/>
        <w:left w:val="none" w:sz="0" w:space="0" w:color="auto"/>
        <w:bottom w:val="none" w:sz="0" w:space="0" w:color="auto"/>
        <w:right w:val="none" w:sz="0" w:space="0" w:color="auto"/>
      </w:divBdr>
    </w:div>
    <w:div w:id="780347083">
      <w:bodyDiv w:val="1"/>
      <w:marLeft w:val="0"/>
      <w:marRight w:val="0"/>
      <w:marTop w:val="0"/>
      <w:marBottom w:val="0"/>
      <w:divBdr>
        <w:top w:val="none" w:sz="0" w:space="0" w:color="auto"/>
        <w:left w:val="none" w:sz="0" w:space="0" w:color="auto"/>
        <w:bottom w:val="none" w:sz="0" w:space="0" w:color="auto"/>
        <w:right w:val="none" w:sz="0" w:space="0" w:color="auto"/>
      </w:divBdr>
      <w:divsChild>
        <w:div w:id="915167156">
          <w:marLeft w:val="0"/>
          <w:marRight w:val="0"/>
          <w:marTop w:val="0"/>
          <w:marBottom w:val="0"/>
          <w:divBdr>
            <w:top w:val="none" w:sz="0" w:space="0" w:color="auto"/>
            <w:left w:val="none" w:sz="0" w:space="0" w:color="auto"/>
            <w:bottom w:val="none" w:sz="0" w:space="0" w:color="auto"/>
            <w:right w:val="none" w:sz="0" w:space="0" w:color="auto"/>
          </w:divBdr>
          <w:divsChild>
            <w:div w:id="954866328">
              <w:marLeft w:val="0"/>
              <w:marRight w:val="0"/>
              <w:marTop w:val="0"/>
              <w:marBottom w:val="0"/>
              <w:divBdr>
                <w:top w:val="none" w:sz="0" w:space="0" w:color="auto"/>
                <w:left w:val="none" w:sz="0" w:space="0" w:color="auto"/>
                <w:bottom w:val="none" w:sz="0" w:space="0" w:color="auto"/>
                <w:right w:val="none" w:sz="0" w:space="0" w:color="auto"/>
              </w:divBdr>
              <w:divsChild>
                <w:div w:id="1405882654">
                  <w:marLeft w:val="0"/>
                  <w:marRight w:val="0"/>
                  <w:marTop w:val="0"/>
                  <w:marBottom w:val="0"/>
                  <w:divBdr>
                    <w:top w:val="none" w:sz="0" w:space="0" w:color="auto"/>
                    <w:left w:val="none" w:sz="0" w:space="0" w:color="auto"/>
                    <w:bottom w:val="none" w:sz="0" w:space="0" w:color="auto"/>
                    <w:right w:val="none" w:sz="0" w:space="0" w:color="auto"/>
                  </w:divBdr>
                  <w:divsChild>
                    <w:div w:id="1441605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0458573">
      <w:bodyDiv w:val="1"/>
      <w:marLeft w:val="0"/>
      <w:marRight w:val="0"/>
      <w:marTop w:val="0"/>
      <w:marBottom w:val="0"/>
      <w:divBdr>
        <w:top w:val="none" w:sz="0" w:space="0" w:color="auto"/>
        <w:left w:val="none" w:sz="0" w:space="0" w:color="auto"/>
        <w:bottom w:val="none" w:sz="0" w:space="0" w:color="auto"/>
        <w:right w:val="none" w:sz="0" w:space="0" w:color="auto"/>
      </w:divBdr>
      <w:divsChild>
        <w:div w:id="748042980">
          <w:marLeft w:val="1166"/>
          <w:marRight w:val="0"/>
          <w:marTop w:val="96"/>
          <w:marBottom w:val="0"/>
          <w:divBdr>
            <w:top w:val="none" w:sz="0" w:space="0" w:color="auto"/>
            <w:left w:val="none" w:sz="0" w:space="0" w:color="auto"/>
            <w:bottom w:val="none" w:sz="0" w:space="0" w:color="auto"/>
            <w:right w:val="none" w:sz="0" w:space="0" w:color="auto"/>
          </w:divBdr>
        </w:div>
        <w:div w:id="1518235025">
          <w:marLeft w:val="1166"/>
          <w:marRight w:val="0"/>
          <w:marTop w:val="96"/>
          <w:marBottom w:val="0"/>
          <w:divBdr>
            <w:top w:val="none" w:sz="0" w:space="0" w:color="auto"/>
            <w:left w:val="none" w:sz="0" w:space="0" w:color="auto"/>
            <w:bottom w:val="none" w:sz="0" w:space="0" w:color="auto"/>
            <w:right w:val="none" w:sz="0" w:space="0" w:color="auto"/>
          </w:divBdr>
        </w:div>
        <w:div w:id="1439106864">
          <w:marLeft w:val="1166"/>
          <w:marRight w:val="0"/>
          <w:marTop w:val="96"/>
          <w:marBottom w:val="0"/>
          <w:divBdr>
            <w:top w:val="none" w:sz="0" w:space="0" w:color="auto"/>
            <w:left w:val="none" w:sz="0" w:space="0" w:color="auto"/>
            <w:bottom w:val="none" w:sz="0" w:space="0" w:color="auto"/>
            <w:right w:val="none" w:sz="0" w:space="0" w:color="auto"/>
          </w:divBdr>
        </w:div>
      </w:divsChild>
    </w:div>
    <w:div w:id="930503890">
      <w:bodyDiv w:val="1"/>
      <w:marLeft w:val="0"/>
      <w:marRight w:val="0"/>
      <w:marTop w:val="0"/>
      <w:marBottom w:val="0"/>
      <w:divBdr>
        <w:top w:val="none" w:sz="0" w:space="0" w:color="auto"/>
        <w:left w:val="none" w:sz="0" w:space="0" w:color="auto"/>
        <w:bottom w:val="none" w:sz="0" w:space="0" w:color="auto"/>
        <w:right w:val="none" w:sz="0" w:space="0" w:color="auto"/>
      </w:divBdr>
    </w:div>
    <w:div w:id="943535628">
      <w:bodyDiv w:val="1"/>
      <w:marLeft w:val="0"/>
      <w:marRight w:val="0"/>
      <w:marTop w:val="0"/>
      <w:marBottom w:val="0"/>
      <w:divBdr>
        <w:top w:val="none" w:sz="0" w:space="0" w:color="auto"/>
        <w:left w:val="none" w:sz="0" w:space="0" w:color="auto"/>
        <w:bottom w:val="none" w:sz="0" w:space="0" w:color="auto"/>
        <w:right w:val="none" w:sz="0" w:space="0" w:color="auto"/>
      </w:divBdr>
    </w:div>
    <w:div w:id="951521202">
      <w:bodyDiv w:val="1"/>
      <w:marLeft w:val="0"/>
      <w:marRight w:val="0"/>
      <w:marTop w:val="0"/>
      <w:marBottom w:val="0"/>
      <w:divBdr>
        <w:top w:val="none" w:sz="0" w:space="0" w:color="auto"/>
        <w:left w:val="none" w:sz="0" w:space="0" w:color="auto"/>
        <w:bottom w:val="none" w:sz="0" w:space="0" w:color="auto"/>
        <w:right w:val="none" w:sz="0" w:space="0" w:color="auto"/>
      </w:divBdr>
    </w:div>
    <w:div w:id="974749158">
      <w:bodyDiv w:val="1"/>
      <w:marLeft w:val="0"/>
      <w:marRight w:val="0"/>
      <w:marTop w:val="0"/>
      <w:marBottom w:val="0"/>
      <w:divBdr>
        <w:top w:val="none" w:sz="0" w:space="0" w:color="auto"/>
        <w:left w:val="none" w:sz="0" w:space="0" w:color="auto"/>
        <w:bottom w:val="none" w:sz="0" w:space="0" w:color="auto"/>
        <w:right w:val="none" w:sz="0" w:space="0" w:color="auto"/>
      </w:divBdr>
    </w:div>
    <w:div w:id="981037339">
      <w:bodyDiv w:val="1"/>
      <w:marLeft w:val="0"/>
      <w:marRight w:val="0"/>
      <w:marTop w:val="0"/>
      <w:marBottom w:val="0"/>
      <w:divBdr>
        <w:top w:val="none" w:sz="0" w:space="0" w:color="auto"/>
        <w:left w:val="none" w:sz="0" w:space="0" w:color="auto"/>
        <w:bottom w:val="none" w:sz="0" w:space="0" w:color="auto"/>
        <w:right w:val="none" w:sz="0" w:space="0" w:color="auto"/>
      </w:divBdr>
    </w:div>
    <w:div w:id="1038354789">
      <w:bodyDiv w:val="1"/>
      <w:marLeft w:val="0"/>
      <w:marRight w:val="0"/>
      <w:marTop w:val="0"/>
      <w:marBottom w:val="0"/>
      <w:divBdr>
        <w:top w:val="none" w:sz="0" w:space="0" w:color="auto"/>
        <w:left w:val="none" w:sz="0" w:space="0" w:color="auto"/>
        <w:bottom w:val="none" w:sz="0" w:space="0" w:color="auto"/>
        <w:right w:val="none" w:sz="0" w:space="0" w:color="auto"/>
      </w:divBdr>
      <w:divsChild>
        <w:div w:id="310521655">
          <w:marLeft w:val="0"/>
          <w:marRight w:val="0"/>
          <w:marTop w:val="0"/>
          <w:marBottom w:val="0"/>
          <w:divBdr>
            <w:top w:val="none" w:sz="0" w:space="0" w:color="auto"/>
            <w:left w:val="none" w:sz="0" w:space="0" w:color="auto"/>
            <w:bottom w:val="none" w:sz="0" w:space="0" w:color="auto"/>
            <w:right w:val="none" w:sz="0" w:space="0" w:color="auto"/>
          </w:divBdr>
        </w:div>
      </w:divsChild>
    </w:div>
    <w:div w:id="1069227260">
      <w:bodyDiv w:val="1"/>
      <w:marLeft w:val="0"/>
      <w:marRight w:val="0"/>
      <w:marTop w:val="0"/>
      <w:marBottom w:val="0"/>
      <w:divBdr>
        <w:top w:val="none" w:sz="0" w:space="0" w:color="auto"/>
        <w:left w:val="none" w:sz="0" w:space="0" w:color="auto"/>
        <w:bottom w:val="none" w:sz="0" w:space="0" w:color="auto"/>
        <w:right w:val="none" w:sz="0" w:space="0" w:color="auto"/>
      </w:divBdr>
    </w:div>
    <w:div w:id="1082413925">
      <w:bodyDiv w:val="1"/>
      <w:marLeft w:val="0"/>
      <w:marRight w:val="0"/>
      <w:marTop w:val="0"/>
      <w:marBottom w:val="0"/>
      <w:divBdr>
        <w:top w:val="none" w:sz="0" w:space="0" w:color="auto"/>
        <w:left w:val="none" w:sz="0" w:space="0" w:color="auto"/>
        <w:bottom w:val="none" w:sz="0" w:space="0" w:color="auto"/>
        <w:right w:val="none" w:sz="0" w:space="0" w:color="auto"/>
      </w:divBdr>
    </w:div>
    <w:div w:id="1101729518">
      <w:bodyDiv w:val="1"/>
      <w:marLeft w:val="0"/>
      <w:marRight w:val="0"/>
      <w:marTop w:val="0"/>
      <w:marBottom w:val="0"/>
      <w:divBdr>
        <w:top w:val="none" w:sz="0" w:space="0" w:color="auto"/>
        <w:left w:val="none" w:sz="0" w:space="0" w:color="auto"/>
        <w:bottom w:val="none" w:sz="0" w:space="0" w:color="auto"/>
        <w:right w:val="none" w:sz="0" w:space="0" w:color="auto"/>
      </w:divBdr>
      <w:divsChild>
        <w:div w:id="889339349">
          <w:marLeft w:val="0"/>
          <w:marRight w:val="0"/>
          <w:marTop w:val="0"/>
          <w:marBottom w:val="0"/>
          <w:divBdr>
            <w:top w:val="none" w:sz="0" w:space="0" w:color="auto"/>
            <w:left w:val="none" w:sz="0" w:space="0" w:color="auto"/>
            <w:bottom w:val="none" w:sz="0" w:space="0" w:color="auto"/>
            <w:right w:val="none" w:sz="0" w:space="0" w:color="auto"/>
          </w:divBdr>
          <w:divsChild>
            <w:div w:id="1576238921">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110927461">
      <w:bodyDiv w:val="1"/>
      <w:marLeft w:val="0"/>
      <w:marRight w:val="0"/>
      <w:marTop w:val="0"/>
      <w:marBottom w:val="0"/>
      <w:divBdr>
        <w:top w:val="none" w:sz="0" w:space="0" w:color="auto"/>
        <w:left w:val="none" w:sz="0" w:space="0" w:color="auto"/>
        <w:bottom w:val="none" w:sz="0" w:space="0" w:color="auto"/>
        <w:right w:val="none" w:sz="0" w:space="0" w:color="auto"/>
      </w:divBdr>
    </w:div>
    <w:div w:id="1113279627">
      <w:bodyDiv w:val="1"/>
      <w:marLeft w:val="0"/>
      <w:marRight w:val="0"/>
      <w:marTop w:val="0"/>
      <w:marBottom w:val="0"/>
      <w:divBdr>
        <w:top w:val="none" w:sz="0" w:space="0" w:color="auto"/>
        <w:left w:val="none" w:sz="0" w:space="0" w:color="auto"/>
        <w:bottom w:val="none" w:sz="0" w:space="0" w:color="auto"/>
        <w:right w:val="none" w:sz="0" w:space="0" w:color="auto"/>
      </w:divBdr>
      <w:divsChild>
        <w:div w:id="1928071175">
          <w:marLeft w:val="0"/>
          <w:marRight w:val="0"/>
          <w:marTop w:val="0"/>
          <w:marBottom w:val="0"/>
          <w:divBdr>
            <w:top w:val="none" w:sz="0" w:space="0" w:color="auto"/>
            <w:left w:val="none" w:sz="0" w:space="0" w:color="auto"/>
            <w:bottom w:val="none" w:sz="0" w:space="0" w:color="auto"/>
            <w:right w:val="none" w:sz="0" w:space="0" w:color="auto"/>
          </w:divBdr>
        </w:div>
      </w:divsChild>
    </w:div>
    <w:div w:id="1121531848">
      <w:bodyDiv w:val="1"/>
      <w:marLeft w:val="0"/>
      <w:marRight w:val="0"/>
      <w:marTop w:val="0"/>
      <w:marBottom w:val="0"/>
      <w:divBdr>
        <w:top w:val="none" w:sz="0" w:space="0" w:color="auto"/>
        <w:left w:val="none" w:sz="0" w:space="0" w:color="auto"/>
        <w:bottom w:val="none" w:sz="0" w:space="0" w:color="auto"/>
        <w:right w:val="none" w:sz="0" w:space="0" w:color="auto"/>
      </w:divBdr>
    </w:div>
    <w:div w:id="1162045626">
      <w:bodyDiv w:val="1"/>
      <w:marLeft w:val="0"/>
      <w:marRight w:val="0"/>
      <w:marTop w:val="0"/>
      <w:marBottom w:val="0"/>
      <w:divBdr>
        <w:top w:val="none" w:sz="0" w:space="0" w:color="auto"/>
        <w:left w:val="none" w:sz="0" w:space="0" w:color="auto"/>
        <w:bottom w:val="none" w:sz="0" w:space="0" w:color="auto"/>
        <w:right w:val="none" w:sz="0" w:space="0" w:color="auto"/>
      </w:divBdr>
    </w:div>
    <w:div w:id="1209415343">
      <w:bodyDiv w:val="1"/>
      <w:marLeft w:val="0"/>
      <w:marRight w:val="0"/>
      <w:marTop w:val="0"/>
      <w:marBottom w:val="0"/>
      <w:divBdr>
        <w:top w:val="none" w:sz="0" w:space="0" w:color="auto"/>
        <w:left w:val="none" w:sz="0" w:space="0" w:color="auto"/>
        <w:bottom w:val="none" w:sz="0" w:space="0" w:color="auto"/>
        <w:right w:val="none" w:sz="0" w:space="0" w:color="auto"/>
      </w:divBdr>
    </w:div>
    <w:div w:id="1224871647">
      <w:bodyDiv w:val="1"/>
      <w:marLeft w:val="0"/>
      <w:marRight w:val="0"/>
      <w:marTop w:val="0"/>
      <w:marBottom w:val="0"/>
      <w:divBdr>
        <w:top w:val="none" w:sz="0" w:space="0" w:color="auto"/>
        <w:left w:val="none" w:sz="0" w:space="0" w:color="auto"/>
        <w:bottom w:val="none" w:sz="0" w:space="0" w:color="auto"/>
        <w:right w:val="none" w:sz="0" w:space="0" w:color="auto"/>
      </w:divBdr>
    </w:div>
    <w:div w:id="1230190542">
      <w:bodyDiv w:val="1"/>
      <w:marLeft w:val="0"/>
      <w:marRight w:val="0"/>
      <w:marTop w:val="0"/>
      <w:marBottom w:val="0"/>
      <w:divBdr>
        <w:top w:val="none" w:sz="0" w:space="0" w:color="auto"/>
        <w:left w:val="none" w:sz="0" w:space="0" w:color="auto"/>
        <w:bottom w:val="none" w:sz="0" w:space="0" w:color="auto"/>
        <w:right w:val="none" w:sz="0" w:space="0" w:color="auto"/>
      </w:divBdr>
      <w:divsChild>
        <w:div w:id="1827818483">
          <w:marLeft w:val="0"/>
          <w:marRight w:val="0"/>
          <w:marTop w:val="0"/>
          <w:marBottom w:val="0"/>
          <w:divBdr>
            <w:top w:val="none" w:sz="0" w:space="0" w:color="auto"/>
            <w:left w:val="none" w:sz="0" w:space="0" w:color="auto"/>
            <w:bottom w:val="none" w:sz="0" w:space="0" w:color="auto"/>
            <w:right w:val="none" w:sz="0" w:space="0" w:color="auto"/>
          </w:divBdr>
          <w:divsChild>
            <w:div w:id="666979633">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253276550">
      <w:bodyDiv w:val="1"/>
      <w:marLeft w:val="0"/>
      <w:marRight w:val="0"/>
      <w:marTop w:val="0"/>
      <w:marBottom w:val="0"/>
      <w:divBdr>
        <w:top w:val="none" w:sz="0" w:space="0" w:color="auto"/>
        <w:left w:val="none" w:sz="0" w:space="0" w:color="auto"/>
        <w:bottom w:val="none" w:sz="0" w:space="0" w:color="auto"/>
        <w:right w:val="none" w:sz="0" w:space="0" w:color="auto"/>
      </w:divBdr>
      <w:divsChild>
        <w:div w:id="266616445">
          <w:marLeft w:val="0"/>
          <w:marRight w:val="0"/>
          <w:marTop w:val="0"/>
          <w:marBottom w:val="0"/>
          <w:divBdr>
            <w:top w:val="none" w:sz="0" w:space="0" w:color="auto"/>
            <w:left w:val="none" w:sz="0" w:space="0" w:color="auto"/>
            <w:bottom w:val="none" w:sz="0" w:space="0" w:color="auto"/>
            <w:right w:val="none" w:sz="0" w:space="0" w:color="auto"/>
          </w:divBdr>
        </w:div>
      </w:divsChild>
    </w:div>
    <w:div w:id="1259145507">
      <w:bodyDiv w:val="1"/>
      <w:marLeft w:val="0"/>
      <w:marRight w:val="0"/>
      <w:marTop w:val="0"/>
      <w:marBottom w:val="0"/>
      <w:divBdr>
        <w:top w:val="none" w:sz="0" w:space="0" w:color="auto"/>
        <w:left w:val="none" w:sz="0" w:space="0" w:color="auto"/>
        <w:bottom w:val="none" w:sz="0" w:space="0" w:color="auto"/>
        <w:right w:val="none" w:sz="0" w:space="0" w:color="auto"/>
      </w:divBdr>
    </w:div>
    <w:div w:id="1277373403">
      <w:bodyDiv w:val="1"/>
      <w:marLeft w:val="0"/>
      <w:marRight w:val="0"/>
      <w:marTop w:val="0"/>
      <w:marBottom w:val="0"/>
      <w:divBdr>
        <w:top w:val="none" w:sz="0" w:space="0" w:color="auto"/>
        <w:left w:val="none" w:sz="0" w:space="0" w:color="auto"/>
        <w:bottom w:val="none" w:sz="0" w:space="0" w:color="auto"/>
        <w:right w:val="none" w:sz="0" w:space="0" w:color="auto"/>
      </w:divBdr>
    </w:div>
    <w:div w:id="1299143167">
      <w:bodyDiv w:val="1"/>
      <w:marLeft w:val="0"/>
      <w:marRight w:val="0"/>
      <w:marTop w:val="0"/>
      <w:marBottom w:val="0"/>
      <w:divBdr>
        <w:top w:val="none" w:sz="0" w:space="0" w:color="auto"/>
        <w:left w:val="none" w:sz="0" w:space="0" w:color="auto"/>
        <w:bottom w:val="none" w:sz="0" w:space="0" w:color="auto"/>
        <w:right w:val="none" w:sz="0" w:space="0" w:color="auto"/>
      </w:divBdr>
    </w:div>
    <w:div w:id="1322658571">
      <w:bodyDiv w:val="1"/>
      <w:marLeft w:val="0"/>
      <w:marRight w:val="0"/>
      <w:marTop w:val="0"/>
      <w:marBottom w:val="0"/>
      <w:divBdr>
        <w:top w:val="none" w:sz="0" w:space="0" w:color="auto"/>
        <w:left w:val="none" w:sz="0" w:space="0" w:color="auto"/>
        <w:bottom w:val="none" w:sz="0" w:space="0" w:color="auto"/>
        <w:right w:val="none" w:sz="0" w:space="0" w:color="auto"/>
      </w:divBdr>
    </w:div>
    <w:div w:id="1351763394">
      <w:bodyDiv w:val="1"/>
      <w:marLeft w:val="0"/>
      <w:marRight w:val="0"/>
      <w:marTop w:val="0"/>
      <w:marBottom w:val="0"/>
      <w:divBdr>
        <w:top w:val="none" w:sz="0" w:space="0" w:color="auto"/>
        <w:left w:val="none" w:sz="0" w:space="0" w:color="auto"/>
        <w:bottom w:val="none" w:sz="0" w:space="0" w:color="auto"/>
        <w:right w:val="none" w:sz="0" w:space="0" w:color="auto"/>
      </w:divBdr>
    </w:div>
    <w:div w:id="1378242314">
      <w:bodyDiv w:val="1"/>
      <w:marLeft w:val="0"/>
      <w:marRight w:val="0"/>
      <w:marTop w:val="0"/>
      <w:marBottom w:val="0"/>
      <w:divBdr>
        <w:top w:val="none" w:sz="0" w:space="0" w:color="auto"/>
        <w:left w:val="none" w:sz="0" w:space="0" w:color="auto"/>
        <w:bottom w:val="none" w:sz="0" w:space="0" w:color="auto"/>
        <w:right w:val="none" w:sz="0" w:space="0" w:color="auto"/>
      </w:divBdr>
      <w:divsChild>
        <w:div w:id="505941462">
          <w:marLeft w:val="0"/>
          <w:marRight w:val="0"/>
          <w:marTop w:val="0"/>
          <w:marBottom w:val="0"/>
          <w:divBdr>
            <w:top w:val="none" w:sz="0" w:space="0" w:color="auto"/>
            <w:left w:val="none" w:sz="0" w:space="0" w:color="auto"/>
            <w:bottom w:val="none" w:sz="0" w:space="0" w:color="auto"/>
            <w:right w:val="none" w:sz="0" w:space="0" w:color="auto"/>
          </w:divBdr>
          <w:divsChild>
            <w:div w:id="2076121704">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385906385">
      <w:bodyDiv w:val="1"/>
      <w:marLeft w:val="0"/>
      <w:marRight w:val="0"/>
      <w:marTop w:val="0"/>
      <w:marBottom w:val="0"/>
      <w:divBdr>
        <w:top w:val="none" w:sz="0" w:space="0" w:color="auto"/>
        <w:left w:val="none" w:sz="0" w:space="0" w:color="auto"/>
        <w:bottom w:val="none" w:sz="0" w:space="0" w:color="auto"/>
        <w:right w:val="none" w:sz="0" w:space="0" w:color="auto"/>
      </w:divBdr>
    </w:div>
    <w:div w:id="1400637326">
      <w:bodyDiv w:val="1"/>
      <w:marLeft w:val="0"/>
      <w:marRight w:val="0"/>
      <w:marTop w:val="0"/>
      <w:marBottom w:val="0"/>
      <w:divBdr>
        <w:top w:val="none" w:sz="0" w:space="0" w:color="auto"/>
        <w:left w:val="none" w:sz="0" w:space="0" w:color="auto"/>
        <w:bottom w:val="none" w:sz="0" w:space="0" w:color="auto"/>
        <w:right w:val="none" w:sz="0" w:space="0" w:color="auto"/>
      </w:divBdr>
    </w:div>
    <w:div w:id="1407146236">
      <w:bodyDiv w:val="1"/>
      <w:marLeft w:val="0"/>
      <w:marRight w:val="0"/>
      <w:marTop w:val="0"/>
      <w:marBottom w:val="0"/>
      <w:divBdr>
        <w:top w:val="none" w:sz="0" w:space="0" w:color="auto"/>
        <w:left w:val="none" w:sz="0" w:space="0" w:color="auto"/>
        <w:bottom w:val="none" w:sz="0" w:space="0" w:color="auto"/>
        <w:right w:val="none" w:sz="0" w:space="0" w:color="auto"/>
      </w:divBdr>
    </w:div>
    <w:div w:id="1418745791">
      <w:bodyDiv w:val="1"/>
      <w:marLeft w:val="0"/>
      <w:marRight w:val="0"/>
      <w:marTop w:val="0"/>
      <w:marBottom w:val="0"/>
      <w:divBdr>
        <w:top w:val="none" w:sz="0" w:space="0" w:color="auto"/>
        <w:left w:val="none" w:sz="0" w:space="0" w:color="auto"/>
        <w:bottom w:val="none" w:sz="0" w:space="0" w:color="auto"/>
        <w:right w:val="none" w:sz="0" w:space="0" w:color="auto"/>
      </w:divBdr>
    </w:div>
    <w:div w:id="1426658362">
      <w:bodyDiv w:val="1"/>
      <w:marLeft w:val="0"/>
      <w:marRight w:val="0"/>
      <w:marTop w:val="0"/>
      <w:marBottom w:val="0"/>
      <w:divBdr>
        <w:top w:val="none" w:sz="0" w:space="0" w:color="auto"/>
        <w:left w:val="none" w:sz="0" w:space="0" w:color="auto"/>
        <w:bottom w:val="none" w:sz="0" w:space="0" w:color="auto"/>
        <w:right w:val="none" w:sz="0" w:space="0" w:color="auto"/>
      </w:divBdr>
    </w:div>
    <w:div w:id="1438410678">
      <w:bodyDiv w:val="1"/>
      <w:marLeft w:val="0"/>
      <w:marRight w:val="0"/>
      <w:marTop w:val="0"/>
      <w:marBottom w:val="0"/>
      <w:divBdr>
        <w:top w:val="none" w:sz="0" w:space="0" w:color="auto"/>
        <w:left w:val="none" w:sz="0" w:space="0" w:color="auto"/>
        <w:bottom w:val="none" w:sz="0" w:space="0" w:color="auto"/>
        <w:right w:val="none" w:sz="0" w:space="0" w:color="auto"/>
      </w:divBdr>
    </w:div>
    <w:div w:id="1439064909">
      <w:bodyDiv w:val="1"/>
      <w:marLeft w:val="0"/>
      <w:marRight w:val="0"/>
      <w:marTop w:val="0"/>
      <w:marBottom w:val="0"/>
      <w:divBdr>
        <w:top w:val="none" w:sz="0" w:space="0" w:color="auto"/>
        <w:left w:val="none" w:sz="0" w:space="0" w:color="auto"/>
        <w:bottom w:val="none" w:sz="0" w:space="0" w:color="auto"/>
        <w:right w:val="none" w:sz="0" w:space="0" w:color="auto"/>
      </w:divBdr>
    </w:div>
    <w:div w:id="1491674222">
      <w:bodyDiv w:val="1"/>
      <w:marLeft w:val="0"/>
      <w:marRight w:val="0"/>
      <w:marTop w:val="0"/>
      <w:marBottom w:val="0"/>
      <w:divBdr>
        <w:top w:val="none" w:sz="0" w:space="0" w:color="auto"/>
        <w:left w:val="none" w:sz="0" w:space="0" w:color="auto"/>
        <w:bottom w:val="none" w:sz="0" w:space="0" w:color="auto"/>
        <w:right w:val="none" w:sz="0" w:space="0" w:color="auto"/>
      </w:divBdr>
    </w:div>
    <w:div w:id="1520585670">
      <w:bodyDiv w:val="1"/>
      <w:marLeft w:val="0"/>
      <w:marRight w:val="0"/>
      <w:marTop w:val="0"/>
      <w:marBottom w:val="0"/>
      <w:divBdr>
        <w:top w:val="none" w:sz="0" w:space="0" w:color="auto"/>
        <w:left w:val="none" w:sz="0" w:space="0" w:color="auto"/>
        <w:bottom w:val="none" w:sz="0" w:space="0" w:color="auto"/>
        <w:right w:val="none" w:sz="0" w:space="0" w:color="auto"/>
      </w:divBdr>
    </w:div>
    <w:div w:id="1526938002">
      <w:bodyDiv w:val="1"/>
      <w:marLeft w:val="0"/>
      <w:marRight w:val="0"/>
      <w:marTop w:val="0"/>
      <w:marBottom w:val="0"/>
      <w:divBdr>
        <w:top w:val="none" w:sz="0" w:space="0" w:color="auto"/>
        <w:left w:val="none" w:sz="0" w:space="0" w:color="auto"/>
        <w:bottom w:val="none" w:sz="0" w:space="0" w:color="auto"/>
        <w:right w:val="none" w:sz="0" w:space="0" w:color="auto"/>
      </w:divBdr>
    </w:div>
    <w:div w:id="1530560379">
      <w:bodyDiv w:val="1"/>
      <w:marLeft w:val="0"/>
      <w:marRight w:val="0"/>
      <w:marTop w:val="0"/>
      <w:marBottom w:val="0"/>
      <w:divBdr>
        <w:top w:val="none" w:sz="0" w:space="0" w:color="auto"/>
        <w:left w:val="none" w:sz="0" w:space="0" w:color="auto"/>
        <w:bottom w:val="none" w:sz="0" w:space="0" w:color="auto"/>
        <w:right w:val="none" w:sz="0" w:space="0" w:color="auto"/>
      </w:divBdr>
    </w:div>
    <w:div w:id="1535461444">
      <w:bodyDiv w:val="1"/>
      <w:marLeft w:val="0"/>
      <w:marRight w:val="0"/>
      <w:marTop w:val="0"/>
      <w:marBottom w:val="0"/>
      <w:divBdr>
        <w:top w:val="none" w:sz="0" w:space="0" w:color="auto"/>
        <w:left w:val="none" w:sz="0" w:space="0" w:color="auto"/>
        <w:bottom w:val="none" w:sz="0" w:space="0" w:color="auto"/>
        <w:right w:val="none" w:sz="0" w:space="0" w:color="auto"/>
      </w:divBdr>
    </w:div>
    <w:div w:id="1579363786">
      <w:bodyDiv w:val="1"/>
      <w:marLeft w:val="0"/>
      <w:marRight w:val="0"/>
      <w:marTop w:val="0"/>
      <w:marBottom w:val="0"/>
      <w:divBdr>
        <w:top w:val="none" w:sz="0" w:space="0" w:color="auto"/>
        <w:left w:val="none" w:sz="0" w:space="0" w:color="auto"/>
        <w:bottom w:val="none" w:sz="0" w:space="0" w:color="auto"/>
        <w:right w:val="none" w:sz="0" w:space="0" w:color="auto"/>
      </w:divBdr>
      <w:divsChild>
        <w:div w:id="166748360">
          <w:marLeft w:val="0"/>
          <w:marRight w:val="0"/>
          <w:marTop w:val="0"/>
          <w:marBottom w:val="0"/>
          <w:divBdr>
            <w:top w:val="none" w:sz="0" w:space="0" w:color="auto"/>
            <w:left w:val="none" w:sz="0" w:space="0" w:color="auto"/>
            <w:bottom w:val="none" w:sz="0" w:space="0" w:color="auto"/>
            <w:right w:val="none" w:sz="0" w:space="0" w:color="auto"/>
          </w:divBdr>
          <w:divsChild>
            <w:div w:id="2027515532">
              <w:marLeft w:val="0"/>
              <w:marRight w:val="0"/>
              <w:marTop w:val="0"/>
              <w:marBottom w:val="600"/>
              <w:divBdr>
                <w:top w:val="none" w:sz="0" w:space="0" w:color="auto"/>
                <w:left w:val="none" w:sz="0" w:space="0" w:color="auto"/>
                <w:bottom w:val="none" w:sz="0" w:space="0" w:color="auto"/>
                <w:right w:val="none" w:sz="0" w:space="0" w:color="auto"/>
              </w:divBdr>
            </w:div>
          </w:divsChild>
        </w:div>
      </w:divsChild>
    </w:div>
    <w:div w:id="1635330333">
      <w:bodyDiv w:val="1"/>
      <w:marLeft w:val="0"/>
      <w:marRight w:val="0"/>
      <w:marTop w:val="0"/>
      <w:marBottom w:val="0"/>
      <w:divBdr>
        <w:top w:val="none" w:sz="0" w:space="0" w:color="auto"/>
        <w:left w:val="none" w:sz="0" w:space="0" w:color="auto"/>
        <w:bottom w:val="none" w:sz="0" w:space="0" w:color="auto"/>
        <w:right w:val="none" w:sz="0" w:space="0" w:color="auto"/>
      </w:divBdr>
    </w:div>
    <w:div w:id="1680306285">
      <w:bodyDiv w:val="1"/>
      <w:marLeft w:val="0"/>
      <w:marRight w:val="0"/>
      <w:marTop w:val="0"/>
      <w:marBottom w:val="0"/>
      <w:divBdr>
        <w:top w:val="none" w:sz="0" w:space="0" w:color="auto"/>
        <w:left w:val="none" w:sz="0" w:space="0" w:color="auto"/>
        <w:bottom w:val="none" w:sz="0" w:space="0" w:color="auto"/>
        <w:right w:val="none" w:sz="0" w:space="0" w:color="auto"/>
      </w:divBdr>
      <w:divsChild>
        <w:div w:id="1091271958">
          <w:marLeft w:val="0"/>
          <w:marRight w:val="0"/>
          <w:marTop w:val="0"/>
          <w:marBottom w:val="0"/>
          <w:divBdr>
            <w:top w:val="none" w:sz="0" w:space="0" w:color="auto"/>
            <w:left w:val="none" w:sz="0" w:space="0" w:color="auto"/>
            <w:bottom w:val="none" w:sz="0" w:space="0" w:color="auto"/>
            <w:right w:val="none" w:sz="0" w:space="0" w:color="auto"/>
          </w:divBdr>
        </w:div>
      </w:divsChild>
    </w:div>
    <w:div w:id="1688017906">
      <w:bodyDiv w:val="1"/>
      <w:marLeft w:val="0"/>
      <w:marRight w:val="0"/>
      <w:marTop w:val="0"/>
      <w:marBottom w:val="0"/>
      <w:divBdr>
        <w:top w:val="none" w:sz="0" w:space="0" w:color="auto"/>
        <w:left w:val="none" w:sz="0" w:space="0" w:color="auto"/>
        <w:bottom w:val="none" w:sz="0" w:space="0" w:color="auto"/>
        <w:right w:val="none" w:sz="0" w:space="0" w:color="auto"/>
      </w:divBdr>
    </w:div>
    <w:div w:id="1700887081">
      <w:bodyDiv w:val="1"/>
      <w:marLeft w:val="0"/>
      <w:marRight w:val="0"/>
      <w:marTop w:val="0"/>
      <w:marBottom w:val="0"/>
      <w:divBdr>
        <w:top w:val="none" w:sz="0" w:space="0" w:color="auto"/>
        <w:left w:val="none" w:sz="0" w:space="0" w:color="auto"/>
        <w:bottom w:val="none" w:sz="0" w:space="0" w:color="auto"/>
        <w:right w:val="none" w:sz="0" w:space="0" w:color="auto"/>
      </w:divBdr>
    </w:div>
    <w:div w:id="1719476136">
      <w:bodyDiv w:val="1"/>
      <w:marLeft w:val="0"/>
      <w:marRight w:val="0"/>
      <w:marTop w:val="0"/>
      <w:marBottom w:val="0"/>
      <w:divBdr>
        <w:top w:val="none" w:sz="0" w:space="0" w:color="auto"/>
        <w:left w:val="none" w:sz="0" w:space="0" w:color="auto"/>
        <w:bottom w:val="none" w:sz="0" w:space="0" w:color="auto"/>
        <w:right w:val="none" w:sz="0" w:space="0" w:color="auto"/>
      </w:divBdr>
      <w:divsChild>
        <w:div w:id="1325357864">
          <w:marLeft w:val="0"/>
          <w:marRight w:val="0"/>
          <w:marTop w:val="0"/>
          <w:marBottom w:val="0"/>
          <w:divBdr>
            <w:top w:val="none" w:sz="0" w:space="0" w:color="auto"/>
            <w:left w:val="none" w:sz="0" w:space="0" w:color="auto"/>
            <w:bottom w:val="none" w:sz="0" w:space="0" w:color="auto"/>
            <w:right w:val="none" w:sz="0" w:space="0" w:color="auto"/>
          </w:divBdr>
        </w:div>
      </w:divsChild>
    </w:div>
    <w:div w:id="1758941865">
      <w:bodyDiv w:val="1"/>
      <w:marLeft w:val="0"/>
      <w:marRight w:val="0"/>
      <w:marTop w:val="0"/>
      <w:marBottom w:val="0"/>
      <w:divBdr>
        <w:top w:val="none" w:sz="0" w:space="0" w:color="auto"/>
        <w:left w:val="none" w:sz="0" w:space="0" w:color="auto"/>
        <w:bottom w:val="none" w:sz="0" w:space="0" w:color="auto"/>
        <w:right w:val="none" w:sz="0" w:space="0" w:color="auto"/>
      </w:divBdr>
      <w:divsChild>
        <w:div w:id="47415149">
          <w:marLeft w:val="0"/>
          <w:marRight w:val="0"/>
          <w:marTop w:val="0"/>
          <w:marBottom w:val="0"/>
          <w:divBdr>
            <w:top w:val="none" w:sz="0" w:space="0" w:color="auto"/>
            <w:left w:val="none" w:sz="0" w:space="0" w:color="auto"/>
            <w:bottom w:val="none" w:sz="0" w:space="0" w:color="auto"/>
            <w:right w:val="none" w:sz="0" w:space="0" w:color="auto"/>
          </w:divBdr>
        </w:div>
      </w:divsChild>
    </w:div>
    <w:div w:id="1763136087">
      <w:bodyDiv w:val="1"/>
      <w:marLeft w:val="0"/>
      <w:marRight w:val="0"/>
      <w:marTop w:val="0"/>
      <w:marBottom w:val="0"/>
      <w:divBdr>
        <w:top w:val="none" w:sz="0" w:space="0" w:color="auto"/>
        <w:left w:val="none" w:sz="0" w:space="0" w:color="auto"/>
        <w:bottom w:val="none" w:sz="0" w:space="0" w:color="auto"/>
        <w:right w:val="none" w:sz="0" w:space="0" w:color="auto"/>
      </w:divBdr>
      <w:divsChild>
        <w:div w:id="1571964242">
          <w:marLeft w:val="0"/>
          <w:marRight w:val="0"/>
          <w:marTop w:val="0"/>
          <w:marBottom w:val="0"/>
          <w:divBdr>
            <w:top w:val="none" w:sz="0" w:space="0" w:color="auto"/>
            <w:left w:val="none" w:sz="0" w:space="0" w:color="auto"/>
            <w:bottom w:val="none" w:sz="0" w:space="0" w:color="auto"/>
            <w:right w:val="none" w:sz="0" w:space="0" w:color="auto"/>
          </w:divBdr>
          <w:divsChild>
            <w:div w:id="1804423870">
              <w:marLeft w:val="0"/>
              <w:marRight w:val="0"/>
              <w:marTop w:val="0"/>
              <w:marBottom w:val="0"/>
              <w:divBdr>
                <w:top w:val="none" w:sz="0" w:space="0" w:color="auto"/>
                <w:left w:val="none" w:sz="0" w:space="0" w:color="auto"/>
                <w:bottom w:val="none" w:sz="0" w:space="0" w:color="auto"/>
                <w:right w:val="none" w:sz="0" w:space="0" w:color="auto"/>
              </w:divBdr>
              <w:divsChild>
                <w:div w:id="477187073">
                  <w:marLeft w:val="0"/>
                  <w:marRight w:val="0"/>
                  <w:marTop w:val="0"/>
                  <w:marBottom w:val="0"/>
                  <w:divBdr>
                    <w:top w:val="none" w:sz="0" w:space="0" w:color="auto"/>
                    <w:left w:val="none" w:sz="0" w:space="0" w:color="auto"/>
                    <w:bottom w:val="none" w:sz="0" w:space="0" w:color="auto"/>
                    <w:right w:val="none" w:sz="0" w:space="0" w:color="auto"/>
                  </w:divBdr>
                  <w:divsChild>
                    <w:div w:id="30640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008273">
      <w:bodyDiv w:val="1"/>
      <w:marLeft w:val="0"/>
      <w:marRight w:val="0"/>
      <w:marTop w:val="0"/>
      <w:marBottom w:val="0"/>
      <w:divBdr>
        <w:top w:val="none" w:sz="0" w:space="0" w:color="auto"/>
        <w:left w:val="none" w:sz="0" w:space="0" w:color="auto"/>
        <w:bottom w:val="none" w:sz="0" w:space="0" w:color="auto"/>
        <w:right w:val="none" w:sz="0" w:space="0" w:color="auto"/>
      </w:divBdr>
    </w:div>
    <w:div w:id="1812166556">
      <w:bodyDiv w:val="1"/>
      <w:marLeft w:val="0"/>
      <w:marRight w:val="0"/>
      <w:marTop w:val="0"/>
      <w:marBottom w:val="0"/>
      <w:divBdr>
        <w:top w:val="none" w:sz="0" w:space="0" w:color="auto"/>
        <w:left w:val="none" w:sz="0" w:space="0" w:color="auto"/>
        <w:bottom w:val="none" w:sz="0" w:space="0" w:color="auto"/>
        <w:right w:val="none" w:sz="0" w:space="0" w:color="auto"/>
      </w:divBdr>
    </w:div>
    <w:div w:id="1816289503">
      <w:bodyDiv w:val="1"/>
      <w:marLeft w:val="0"/>
      <w:marRight w:val="0"/>
      <w:marTop w:val="0"/>
      <w:marBottom w:val="0"/>
      <w:divBdr>
        <w:top w:val="none" w:sz="0" w:space="0" w:color="auto"/>
        <w:left w:val="none" w:sz="0" w:space="0" w:color="auto"/>
        <w:bottom w:val="none" w:sz="0" w:space="0" w:color="auto"/>
        <w:right w:val="none" w:sz="0" w:space="0" w:color="auto"/>
      </w:divBdr>
    </w:div>
    <w:div w:id="1837115151">
      <w:bodyDiv w:val="1"/>
      <w:marLeft w:val="0"/>
      <w:marRight w:val="0"/>
      <w:marTop w:val="0"/>
      <w:marBottom w:val="0"/>
      <w:divBdr>
        <w:top w:val="none" w:sz="0" w:space="0" w:color="auto"/>
        <w:left w:val="none" w:sz="0" w:space="0" w:color="auto"/>
        <w:bottom w:val="none" w:sz="0" w:space="0" w:color="auto"/>
        <w:right w:val="none" w:sz="0" w:space="0" w:color="auto"/>
      </w:divBdr>
    </w:div>
    <w:div w:id="1845784925">
      <w:bodyDiv w:val="1"/>
      <w:marLeft w:val="0"/>
      <w:marRight w:val="0"/>
      <w:marTop w:val="0"/>
      <w:marBottom w:val="0"/>
      <w:divBdr>
        <w:top w:val="none" w:sz="0" w:space="0" w:color="auto"/>
        <w:left w:val="none" w:sz="0" w:space="0" w:color="auto"/>
        <w:bottom w:val="none" w:sz="0" w:space="0" w:color="auto"/>
        <w:right w:val="none" w:sz="0" w:space="0" w:color="auto"/>
      </w:divBdr>
    </w:div>
    <w:div w:id="1861620897">
      <w:bodyDiv w:val="1"/>
      <w:marLeft w:val="0"/>
      <w:marRight w:val="0"/>
      <w:marTop w:val="0"/>
      <w:marBottom w:val="0"/>
      <w:divBdr>
        <w:top w:val="none" w:sz="0" w:space="0" w:color="auto"/>
        <w:left w:val="none" w:sz="0" w:space="0" w:color="auto"/>
        <w:bottom w:val="none" w:sz="0" w:space="0" w:color="auto"/>
        <w:right w:val="none" w:sz="0" w:space="0" w:color="auto"/>
      </w:divBdr>
    </w:div>
    <w:div w:id="1879007935">
      <w:bodyDiv w:val="1"/>
      <w:marLeft w:val="0"/>
      <w:marRight w:val="0"/>
      <w:marTop w:val="0"/>
      <w:marBottom w:val="0"/>
      <w:divBdr>
        <w:top w:val="none" w:sz="0" w:space="0" w:color="auto"/>
        <w:left w:val="none" w:sz="0" w:space="0" w:color="auto"/>
        <w:bottom w:val="none" w:sz="0" w:space="0" w:color="auto"/>
        <w:right w:val="none" w:sz="0" w:space="0" w:color="auto"/>
      </w:divBdr>
    </w:div>
    <w:div w:id="1909724171">
      <w:bodyDiv w:val="1"/>
      <w:marLeft w:val="0"/>
      <w:marRight w:val="0"/>
      <w:marTop w:val="0"/>
      <w:marBottom w:val="0"/>
      <w:divBdr>
        <w:top w:val="none" w:sz="0" w:space="0" w:color="auto"/>
        <w:left w:val="none" w:sz="0" w:space="0" w:color="auto"/>
        <w:bottom w:val="none" w:sz="0" w:space="0" w:color="auto"/>
        <w:right w:val="none" w:sz="0" w:space="0" w:color="auto"/>
      </w:divBdr>
    </w:div>
    <w:div w:id="1962954237">
      <w:bodyDiv w:val="1"/>
      <w:marLeft w:val="0"/>
      <w:marRight w:val="0"/>
      <w:marTop w:val="0"/>
      <w:marBottom w:val="0"/>
      <w:divBdr>
        <w:top w:val="none" w:sz="0" w:space="0" w:color="auto"/>
        <w:left w:val="none" w:sz="0" w:space="0" w:color="auto"/>
        <w:bottom w:val="none" w:sz="0" w:space="0" w:color="auto"/>
        <w:right w:val="none" w:sz="0" w:space="0" w:color="auto"/>
      </w:divBdr>
    </w:div>
    <w:div w:id="1984114344">
      <w:bodyDiv w:val="1"/>
      <w:marLeft w:val="0"/>
      <w:marRight w:val="0"/>
      <w:marTop w:val="0"/>
      <w:marBottom w:val="0"/>
      <w:divBdr>
        <w:top w:val="none" w:sz="0" w:space="0" w:color="auto"/>
        <w:left w:val="none" w:sz="0" w:space="0" w:color="auto"/>
        <w:bottom w:val="none" w:sz="0" w:space="0" w:color="auto"/>
        <w:right w:val="none" w:sz="0" w:space="0" w:color="auto"/>
      </w:divBdr>
    </w:div>
    <w:div w:id="1986354468">
      <w:bodyDiv w:val="1"/>
      <w:marLeft w:val="0"/>
      <w:marRight w:val="0"/>
      <w:marTop w:val="0"/>
      <w:marBottom w:val="0"/>
      <w:divBdr>
        <w:top w:val="none" w:sz="0" w:space="0" w:color="auto"/>
        <w:left w:val="none" w:sz="0" w:space="0" w:color="auto"/>
        <w:bottom w:val="none" w:sz="0" w:space="0" w:color="auto"/>
        <w:right w:val="none" w:sz="0" w:space="0" w:color="auto"/>
      </w:divBdr>
    </w:div>
    <w:div w:id="2015453481">
      <w:bodyDiv w:val="1"/>
      <w:marLeft w:val="0"/>
      <w:marRight w:val="0"/>
      <w:marTop w:val="0"/>
      <w:marBottom w:val="0"/>
      <w:divBdr>
        <w:top w:val="none" w:sz="0" w:space="0" w:color="auto"/>
        <w:left w:val="none" w:sz="0" w:space="0" w:color="auto"/>
        <w:bottom w:val="none" w:sz="0" w:space="0" w:color="auto"/>
        <w:right w:val="none" w:sz="0" w:space="0" w:color="auto"/>
      </w:divBdr>
    </w:div>
    <w:div w:id="2042436115">
      <w:bodyDiv w:val="1"/>
      <w:marLeft w:val="0"/>
      <w:marRight w:val="0"/>
      <w:marTop w:val="0"/>
      <w:marBottom w:val="0"/>
      <w:divBdr>
        <w:top w:val="none" w:sz="0" w:space="0" w:color="auto"/>
        <w:left w:val="none" w:sz="0" w:space="0" w:color="auto"/>
        <w:bottom w:val="none" w:sz="0" w:space="0" w:color="auto"/>
        <w:right w:val="none" w:sz="0" w:space="0" w:color="auto"/>
      </w:divBdr>
    </w:div>
    <w:div w:id="2057385792">
      <w:bodyDiv w:val="1"/>
      <w:marLeft w:val="0"/>
      <w:marRight w:val="0"/>
      <w:marTop w:val="0"/>
      <w:marBottom w:val="0"/>
      <w:divBdr>
        <w:top w:val="none" w:sz="0" w:space="0" w:color="auto"/>
        <w:left w:val="none" w:sz="0" w:space="0" w:color="auto"/>
        <w:bottom w:val="none" w:sz="0" w:space="0" w:color="auto"/>
        <w:right w:val="none" w:sz="0" w:space="0" w:color="auto"/>
      </w:divBdr>
    </w:div>
    <w:div w:id="2066827552">
      <w:bodyDiv w:val="1"/>
      <w:marLeft w:val="0"/>
      <w:marRight w:val="0"/>
      <w:marTop w:val="0"/>
      <w:marBottom w:val="0"/>
      <w:divBdr>
        <w:top w:val="none" w:sz="0" w:space="0" w:color="auto"/>
        <w:left w:val="none" w:sz="0" w:space="0" w:color="auto"/>
        <w:bottom w:val="none" w:sz="0" w:space="0" w:color="auto"/>
        <w:right w:val="none" w:sz="0" w:space="0" w:color="auto"/>
      </w:divBdr>
    </w:div>
    <w:div w:id="2077586950">
      <w:bodyDiv w:val="1"/>
      <w:marLeft w:val="0"/>
      <w:marRight w:val="0"/>
      <w:marTop w:val="0"/>
      <w:marBottom w:val="0"/>
      <w:divBdr>
        <w:top w:val="none" w:sz="0" w:space="0" w:color="auto"/>
        <w:left w:val="none" w:sz="0" w:space="0" w:color="auto"/>
        <w:bottom w:val="none" w:sz="0" w:space="0" w:color="auto"/>
        <w:right w:val="none" w:sz="0" w:space="0" w:color="auto"/>
      </w:divBdr>
    </w:div>
    <w:div w:id="2080133166">
      <w:bodyDiv w:val="1"/>
      <w:marLeft w:val="0"/>
      <w:marRight w:val="0"/>
      <w:marTop w:val="0"/>
      <w:marBottom w:val="0"/>
      <w:divBdr>
        <w:top w:val="none" w:sz="0" w:space="0" w:color="auto"/>
        <w:left w:val="none" w:sz="0" w:space="0" w:color="auto"/>
        <w:bottom w:val="none" w:sz="0" w:space="0" w:color="auto"/>
        <w:right w:val="none" w:sz="0" w:space="0" w:color="auto"/>
      </w:divBdr>
    </w:div>
    <w:div w:id="2135977235">
      <w:bodyDiv w:val="1"/>
      <w:marLeft w:val="0"/>
      <w:marRight w:val="0"/>
      <w:marTop w:val="0"/>
      <w:marBottom w:val="0"/>
      <w:divBdr>
        <w:top w:val="none" w:sz="0" w:space="0" w:color="auto"/>
        <w:left w:val="none" w:sz="0" w:space="0" w:color="auto"/>
        <w:bottom w:val="none" w:sz="0" w:space="0" w:color="auto"/>
        <w:right w:val="none" w:sz="0" w:space="0" w:color="auto"/>
      </w:divBdr>
    </w:div>
    <w:div w:id="2139640897">
      <w:bodyDiv w:val="1"/>
      <w:marLeft w:val="0"/>
      <w:marRight w:val="0"/>
      <w:marTop w:val="0"/>
      <w:marBottom w:val="0"/>
      <w:divBdr>
        <w:top w:val="none" w:sz="0" w:space="0" w:color="auto"/>
        <w:left w:val="none" w:sz="0" w:space="0" w:color="auto"/>
        <w:bottom w:val="none" w:sz="0" w:space="0" w:color="auto"/>
        <w:right w:val="none" w:sz="0" w:space="0" w:color="auto"/>
      </w:divBdr>
    </w:div>
    <w:div w:id="2140562220">
      <w:bodyDiv w:val="1"/>
      <w:marLeft w:val="0"/>
      <w:marRight w:val="0"/>
      <w:marTop w:val="0"/>
      <w:marBottom w:val="0"/>
      <w:divBdr>
        <w:top w:val="none" w:sz="0" w:space="0" w:color="auto"/>
        <w:left w:val="none" w:sz="0" w:space="0" w:color="auto"/>
        <w:bottom w:val="none" w:sz="0" w:space="0" w:color="auto"/>
        <w:right w:val="none" w:sz="0" w:space="0" w:color="auto"/>
      </w:divBdr>
    </w:div>
    <w:div w:id="21463113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xuy9@sustech.edu.cn" TargetMode="External"/><Relationship Id="rId13" Type="http://schemas.openxmlformats.org/officeDocument/2006/relationships/image" Target="media/image4.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image" Target="media/image1.jpeg"/><Relationship Id="rId4" Type="http://schemas.openxmlformats.org/officeDocument/2006/relationships/settings" Target="settings.xml"/><Relationship Id="rId9" Type="http://schemas.openxmlformats.org/officeDocument/2006/relationships/hyperlink" Target="https://github.com/zhenyuh19/A-Model-for-the-Development-of-Alzheimer-s-Disease" TargetMode="External"/><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49A527-B026-42DE-A7BE-06FD1D44AB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3859</TotalTime>
  <Pages>17</Pages>
  <Words>31191</Words>
  <Characters>177794</Characters>
  <Application>Microsoft Office Word</Application>
  <DocSecurity>0</DocSecurity>
  <Lines>1481</Lines>
  <Paragraphs>417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zhenyu huang</dc:creator>
  <cp:keywords/>
  <dc:description/>
  <cp:lastModifiedBy>zhenyu huang</cp:lastModifiedBy>
  <cp:revision>653</cp:revision>
  <dcterms:created xsi:type="dcterms:W3CDTF">2024-10-08T06:42:00Z</dcterms:created>
  <dcterms:modified xsi:type="dcterms:W3CDTF">2024-10-19T16:40:00Z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id="terIlYtt"/&gt;&lt;style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