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spacing w:before="100" w:beforeAutospacing="1" w:after="100" w:afterAutospacing="1" w:line="3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天晴，使用git进行管理</w:t>
      </w:r>
      <w:bookmarkStart w:id="0" w:name="_GoBack"/>
      <w:bookmarkEnd w:id="0"/>
    </w:p>
    <w:p>
      <w:pPr>
        <w:spacing w:before="100" w:beforeAutospacing="1" w:after="100" w:afterAutospacing="1" w:line="360" w:lineRule="atLeast"/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</w:rPr>
      </w:pPr>
      <w:r>
        <w:drawing>
          <wp:inline distT="0" distB="0" distL="114300" distR="114300">
            <wp:extent cx="5271135" cy="381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0BBC2D8B"/>
    <w:rsid w:val="2F0A13BD"/>
    <w:rsid w:val="35223AFB"/>
    <w:rsid w:val="41E76913"/>
    <w:rsid w:val="45321B26"/>
    <w:rsid w:val="46053204"/>
    <w:rsid w:val="4F515FA8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658</Words>
  <Characters>1595</Characters>
  <Lines>12</Lines>
  <Paragraphs>3</Paragraphs>
  <TotalTime>91</TotalTime>
  <ScaleCrop>false</ScaleCrop>
  <LinksUpToDate>false</LinksUpToDate>
  <CharactersWithSpaces>1950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2023-03-23T07:09:42Z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