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CNSR III影像与长期预后</w:t>
        <w:br/>
        <w:t>四项独立研究统计分析方案</w:t>
      </w:r>
    </w:p>
    <w:p>
      <w:r>
        <w:t>版本日期 2026年9月18日 第五版</w:t>
      </w:r>
    </w:p>
    <w:p>
      <w:r>
        <w:t>本方案用于在CNSR-III已有临床、血液和影像资料中开展四项独立观察性研究。研究01、02和06以临床结局为主，研究05以影像关联为主。每项研究只有一个主要检验，分别建立队列、插补协变量和保存结果。</w:t>
      </w:r>
    </w:p>
    <w:p>
      <w:r>
        <w:t>本次交付包括可在数据工作站执行的Python项目。患者数据未在本机接入，真实例数、结局数、可估计性和效应仍由工作站产生。本方案不沿用既有Hcy分析的入组人数，不将合成数据演示作为研究结果。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研究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唯一主要检验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01 早期功能独立后的远期失能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3个月已独立生活者的WMH与灰质体积能否提供五年依赖风险信息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多分类模型依赖方程中两个影像系数的2自由度联合检验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02 恢复期血压与WMH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实测收缩压与后续复发的关联曲线是否随WMH变化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延迟入组Cox中两个血压样条与WMH交互项的联合检验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05 HDL功能与灰质结构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在HDL-C相近时CEC是否与更大灰质体积相关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线性模型中CEC的系数检验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06 脑肾微血管损伤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持续白蛋白尿与五年依赖的关联是否随WMH增强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多分类模型依赖方程中持续升高类别与WMH交互的1自由度检验</w:t>
            </w:r>
          </w:p>
        </w:tc>
      </w:tr>
    </w:tbl>
    <w:p>
      <w:pPr>
        <w:spacing w:after="40"/>
      </w:pPr>
    </w:p>
    <w:p>
      <w:r>
        <w:t>实施顺序为：多SAS字段来源审计 → 精确ID与影像连接 → 四个独立队列 → 固定模型与研究专用插补 → 主检验及预设补充分析 → 截图摘要与HTML报告。四项主要P值同时报告原值和固定四项Holm校正值。</w:t>
      </w:r>
    </w:p>
    <w:p>
      <w:r>
        <w:t>临床解释围绕条件关联。影像仅测量一次，因此本项目不检验WMH进展、灰质萎缩速度或因果中介机制。研究02的实测血压也不同于随机分配的降压目标。</w:t>
      </w:r>
    </w:p>
    <w:p>
      <w:pPr>
        <w:pStyle w:val="Heading1"/>
        <w:pageBreakBefore/>
      </w:pPr>
      <w:r>
        <w:t>01 早期功能独立后的远期失能</w:t>
      </w:r>
    </w:p>
    <w:p>
      <w:pPr>
        <w:pStyle w:val="Heading2"/>
      </w:pPr>
      <w:r>
        <w:t>研究背景与新增问题</w:t>
      </w:r>
    </w:p>
    <w:p>
      <w:r>
        <w:t>急性卒中结局不仅与梗死大小有关，也可能受既往白质损伤和脑结构储备影响。Schirmer等的卒中影像研究支持脑体积与功能结局之间存在关联。[1] CNSR-III已有出院残障患者五年功能恢复的研究。[2] 本研究切换临床起点，关注3个月已能独立生活的人群，评估基线影像是否仍提示远期依赖。</w:t>
      </w:r>
    </w:p>
    <w:p>
      <w:r>
        <w:t>3个月mRS 0–2并不证明患者经历了恢复，因为部分患者从发病起功能损伤就较轻。因此，主要队列称为“早期功能独立者”；只有出院mRS高于3个月mRS者才进入“实际改善者”补充队列。</w:t>
      </w:r>
    </w:p>
    <w:p>
      <w:pPr>
        <w:pStyle w:val="Heading2"/>
      </w:pPr>
      <w:r>
        <w:t>研究假设与估计目标</w:t>
      </w:r>
    </w:p>
    <w:p>
      <w:r>
        <w:t>研究假设是：在3个月功能等级、本次卒中损伤及临床背景相近时，WMH负担较高或灰质总体积较小，与五年功能依赖相对独立的概率比增加相关。联合零假设为依赖方程中的WMH系数与灰质系数同时为零。采用双侧2自由度检验；方向另由单项估计和置信区间判断。</w:t>
      </w:r>
    </w:p>
    <w:p>
      <w:r>
        <w:t>纳入成年缺血性卒中患者，3个月存活且F3_MRS为0–2，具有校正后全脑WMH、GM119灰质总体积、真实ICV及主要模型需要的急性梗死体积。未参加其他生物标志物检测不影响入组。</w:t>
      </w:r>
    </w:p>
    <w:p>
      <w:pPr>
        <w:pStyle w:val="Heading2"/>
      </w:pPr>
      <w:r>
        <w:t>五年功能状态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固定规则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五年mRS为0–2，且无此前已确认死亡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依赖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五年mRS为3–5，且无此前已确认死亡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死亡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五年mRS为6，或截至该访视已确认死亡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未知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无五年有效mRS且无已确认死亡；不归入独立</w:t>
            </w:r>
          </w:p>
        </w:tc>
      </w:tr>
    </w:tbl>
    <w:p>
      <w:pPr>
        <w:spacing w:after="40"/>
      </w:pPr>
    </w:p>
    <w:p>
      <w:r>
        <w:t>死亡后再记录为存活或mRS 0–5属于冲突，单列审查，不任选一个记录。已确认死亡可以向后归类；存活者的旧mRS不能向后填补。本结局是五年访视状态，不代表首次失能发生的时点。</w:t>
      </w:r>
    </w:p>
    <w:p>
      <w:pPr>
        <w:pStyle w:val="Heading1"/>
        <w:pageBreakBefore/>
      </w:pPr>
      <w:r>
        <w:t>01 模型与预设结果</w:t>
      </w:r>
    </w:p>
    <w:p>
      <w:r>
        <w:t>以独立状态为参照，使用多分类logistic模型，同时拟合依赖和死亡方程。WMH为标准化log(1＋mL)，GM119按每1个标准差进入，ICV作为独立调整项。主要检验仅针对依赖方程的两个影像系数，死亡方程完整报告但不另立主要假设。</w:t>
      </w:r>
    </w:p>
    <w:p>
      <w:r>
        <w:t>调整集合为：年龄、性别、吸烟、饮酒、高血压、糖尿病、既往卒中、教育、卒中前mRS、入院NIHSS、TOAST、急性梗死体积、3个月mRS和ICV。年龄使用三节点样条。3个月mRS作为分类变量进入，明确估计当前功能相近时的条件预后关联。</w:t>
      </w:r>
    </w:p>
    <w:p>
      <w:r>
        <w:t>主要效应取指数后的含义是：P(依赖)/P(独立)的比值之比。它不是Cox的HR，也不是直接的依赖风险比。联合检验显著只说明至少一个系数提供了证据，不意味着两个影像指标均显著。</w:t>
      </w:r>
    </w:p>
    <w:p>
      <w:r>
        <w:t>主要图在WMH和GM119各自第25、50、75百分位构成的展示场景下，计算模型标准化的独立、依赖和死亡概率。协变量分布固定为实际分析人群；区间由完整系数协方差经delta法计算，再按Rubin规则合并。图中的95%区间是逐点区间，不是同时置信带。</w:t>
      </w:r>
    </w:p>
    <w:p>
      <w:r>
        <w:t>预设补充分析包括：12、24、36、48个月功能状态；实际改善者；原始WMH替代校正WMH；依赖或死亡合并为二分类结局；完整病例；结局可观测概率加权。随访复发不进入主要模型，因为它发生在影像测量之后，可能处于通向远期失能的过程中。</w:t>
      </w:r>
    </w:p>
    <w:p>
      <w:r>
        <w:t>本研究可以支持“已经独立生活的人群中，背景脑结构仍提供远期功能信息”。若区间较宽，结论应是效应精度不足。它不能支持按WMH体积直接决定某种康复干预，亦不证明灰质减少的发生时间。</w:t>
      </w:r>
    </w:p>
    <w:p>
      <w:pPr>
        <w:pStyle w:val="Heading1"/>
        <w:pageBreakBefore/>
      </w:pPr>
      <w:r>
        <w:t>02 恢复期血压与WMH</w:t>
      </w:r>
    </w:p>
    <w:p>
      <w:pPr>
        <w:pStyle w:val="Heading2"/>
      </w:pPr>
      <w:r>
        <w:t>背景与研究假设</w:t>
      </w:r>
    </w:p>
    <w:p>
      <w:r>
        <w:t>SPS3随机试验的次级分析提示，WMH负担可能影响不同血压目标与卒中复发的关系。[3] 这提供了直接的假设依据，但CNSR-III中的暴露是临床测得的血压，可能同时反映血管状态、疾病严重程度及既往管理。研究目标是描绘实测血压的条件关联曲线，而不是复现随机降压试验的治疗效应。</w:t>
      </w:r>
    </w:p>
    <w:p>
      <w:r>
        <w:t>主要假设是恢复期SBP与后续首次缺血性复发的关联曲线随连续WMH变化。预期较重WMH人群可能对偏高SBP更敏感，同时保留低血压端的非线性。因此不预设单一线性SBP效应。</w:t>
      </w:r>
    </w:p>
    <w:p>
      <w:pPr>
        <w:pStyle w:val="Heading2"/>
      </w:pPr>
      <w:r>
        <w:t>人群与时间顺序</w:t>
      </w:r>
    </w:p>
    <w:p>
      <w:r>
        <w:t>纳入成年缺血性卒中患者，WMH和ICV可用，3个月仍存活，至少一侧SBP及实际F3_DATE有效。终点使用Y5_IS和Y5_IS_DD；后者按照现有接口代表发病至首次缺血性复发或观察结束的天数。既有一年至四年首次事件记录用于核验一致性。</w:t>
      </w:r>
    </w:p>
    <w:p>
      <w:r>
        <w:t>从实际3个月访视日进入风险集，以发病日为时间尺度，止于首次复发、记录的观察结束或发病1825天。访视前或当天已发生该首次事件者不进入该风险集，并单列排除人数。早期失访者按实际观察终止，不补足名义五年随访。未知长期死亡日期不反推为精确时间。</w:t>
      </w:r>
    </w:p>
    <w:p>
      <w:pPr>
        <w:pStyle w:val="Heading2"/>
      </w:pPr>
      <w:r>
        <w:t>血压取值</w:t>
      </w:r>
    </w:p>
    <w:p>
      <w:r>
        <w:t>双侧SBP都有值时取较高侧；仅一侧可用时取该侧；同值时固定取左侧。DBP保留所选SBP同侧的值。任何已测侧SBP不高于DBP时标记逻辑冲突。主模型不用两侧不同分量拼接。双侧平均SBP作为敏感性分析。双臂原则参照AHA测量声明，单访视读数不等同于长期平均血压。[4]</w:t>
      </w:r>
    </w:p>
    <w:p>
      <w:pPr>
        <w:pStyle w:val="Heading1"/>
        <w:pageBreakBefore/>
      </w:pPr>
      <w:r>
        <w:t>02 模型与可解释对比</w:t>
      </w:r>
    </w:p>
    <w:p>
      <w:r>
        <w:t>原因别Cox模型采用Efron并列事件处理和延迟入组。SBP和WMH各使用三节点限制性立方样条，节点为本研究队列的第10、50、90百分位；WMH先log(1＋体积)并标准化。将两个SBP样条分量分别与连续标准化WMH相乘。主要检验为两个交互系数同时为零，2自由度。</w:t>
      </w:r>
    </w:p>
    <w:p>
      <w:r>
        <w:t>模型写为：log h(t)＝log h₀(t)＋f(SBP₃)＋g(WMH)＋WMH_z×f(SBP₃)＋γC。这里交互曲线允许SBP方向非线性，但不构造所有WMH样条与SBP样条的高阶乘积。</w:t>
      </w:r>
    </w:p>
    <w:p>
      <w:r>
        <w:t>调整年龄、性别、吸烟、饮酒、高血压、糖尿病、既往卒中、BMI、基线胱抑素C、入院SBP、冠心病、TOAST、卒中前及出院降压用药、3个月mRS和ICV。后续处方不回填此前暴露。本版按研究者决定取消IMG_ICAS调整项，所有血压敏感性分析沿用这一调整集合。</w:t>
      </w:r>
    </w:p>
    <w:p>
      <w:r>
        <w:t>SBP始终作为连续变量建模。主图横轴为连续SBP，纵轴为相对140 mmHg的HR，分别在WMH第25、50、75百分位绘制曲线和逐点95%区间，并附血压频数分布。三个WMH位置只是展示点，不把连续WMH切成临床分组；140是计算参照，不是推荐目标。</w:t>
      </w:r>
    </w:p>
    <w:p>
      <w:r>
        <w:t>曲线在各WMH展示点周围的分位区间（12.5–37.5、37.5–62.5、62.5–87.5百分位）核验SBP支持范围。对应区间至少20人、目标SBP与140均处于该区间SBP第2.5–97.5百分位之间才展示。该限制只用于绘图，不删分析病例。130相对140的HR仍列补充表，120和150同样预设；固定点对比沿用观测最小至最大范围检查。全部对比使用完整协方差，不把非线性模型概括为全血压范围恒定的每10 mmHg HR。</w:t>
      </w:r>
    </w:p>
    <w:p>
      <w:r>
        <w:t>预设敏感性分析为双侧平均SBP、12个月独立血压起点、完整病例和时间变化。本版取消重度WMH分组补充分析，不提取视觉WMH评分；保留从影像提取的全脑WMH连续体积，不增加新的重度阈值。12个月模型改用实际F12_DATE、该访视血压及mRS，重新排除此前首次复发。</w:t>
      </w:r>
    </w:p>
    <w:p>
      <w:r>
        <w:t>时间变化模型在同一Cox中划分访视至发病365天和365至1825天，允许SBP、WMH及交互项随时段变化；以两个交互项的时段差异作联合检验，同时给出两时段临床对比。不能用“一个时段显著、另一个不显著”代替差异检验。</w:t>
      </w:r>
    </w:p>
    <w:p>
      <w:r>
        <w:t>本轮不拟合死亡回归、不计算竞争风险绝对概率、不进行bootstrap，也不搜索最佳SBP cutoff。主要关联若不显著，仍报告完整区间；不据此推断所有WMH人群应使用相同或不同治疗目标。</w:t>
      </w:r>
    </w:p>
    <w:p>
      <w:pPr>
        <w:pStyle w:val="Heading1"/>
        <w:pageBreakBefore/>
      </w:pPr>
      <w:r>
        <w:t>冠心病史的问卷跳答逻辑</w:t>
      </w:r>
    </w:p>
    <w:p>
      <w:r>
        <w:t>血压研究同时提取H_CHD、H_HD及H_CHD_TP。依据研究者明确提供的问卷规则：H_HD为1指向H_CHD为0；H_CHD_TP有真实非缺失内容指向H_CHD为1。此处不推断H_HD其他编码的含义，也不把无规则依据的空白当作无冠心病。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4896"/>
      </w:tblGrid>
      <w:tr>
        <w:trPr>
          <w:cantSplit/>
          <w:tblHeader/>
        </w:trPr>
        <w:tc>
          <w:tcPr>
            <w:tcW w:type="dxa" w:w="5040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原始记录与规则证据</w:t>
            </w:r>
          </w:p>
        </w:tc>
        <w:tc>
          <w:tcPr>
            <w:tcW w:type="dxa" w:w="4896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分析值及审计处理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H_HD为1 且H_CHD_TP缺失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补为0 标记来源为H_HD跳答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H_CHD_TP非空 且H_HD不为1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补为1 标记来源为H_CHD_TP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H_CHD已填0或1且与规则一致 或没有其他规则证据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保留原始有效值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两条规则同时命中 或规则与已填H_CHD矛盾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标记冲突 保留原值 不插补或自动覆盖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H_CHD缺失且两条规则均无证据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保持缺失 进入既定散在协变量缺失处理</w:t>
            </w:r>
          </w:p>
        </w:tc>
      </w:tr>
    </w:tbl>
    <w:p>
      <w:pPr>
        <w:spacing w:after="40"/>
      </w:pPr>
    </w:p>
    <w:p>
      <w:r>
        <w:t>非空判定排除空白、SAS普通缺失和特殊缺失标记；有效数值0也属于非空，按研究者给定规则处理。原始字段保留在只读提取结果；分析表另存chd_recorded、推导后的chd及chd_origin，区分真实填答、两条规则补齐、未解决缺失及冲突。</w:t>
      </w:r>
    </w:p>
    <w:p>
      <w:r>
        <w:t>每次审计分别输出全体临床记录和血压分析队列的原始缺失、补0人数、补1人数、冲突人数及最终缺失。队列内存在矛盾时，血压分析报告REVIEW_REQUIRED，冲突清单留在本地chd_conflicts.csv；其他独立研究不受影响。12个月血压补充分析也检查对应队列，避免通过插补处理矛盾。</w:t>
      </w:r>
    </w:p>
    <w:p>
      <w:r>
        <w:t>这些规则是依据问卷结构派生协变量，不能用单因素P值决定是否执行。H_HD和H_CHD_TP只用于解释H_CHD，不额外进入回归模型，因此不增加模型参数。缺少辅助字段但已有有效H_CHD时保留原记录。</w:t>
      </w:r>
    </w:p>
    <w:p>
      <w:r>
        <w:t>其他纳入方案的字段继续按多SAS来源审计提取。本版不提取或分析IMG_ICAS和Apo_AI，不以两字段的有无限制入组。字段是否存在和是否实际有测量值分别计数，新增数据不改变单位、编码或精确ID连接规则。</w:t>
      </w:r>
    </w:p>
    <w:p>
      <w:pPr>
        <w:pStyle w:val="Heading1"/>
        <w:pageBreakBefore/>
      </w:pPr>
      <w:r>
        <w:t>05 HDL功能与灰质结构</w:t>
      </w:r>
    </w:p>
    <w:p>
      <w:r>
        <w:t>HDL-C浓度反映胆固醇含量，CEC测量细胞胆固醇外排相关功能，两者不能互相替代。Dallas Heart Study中，CEC与灰质体积存在正向关联，未发现相应WMH关联。[5] 因此本研究将灰质而非WMH设为主要结局，检验这一功能性指标在卒中人群中的结构关联。</w:t>
      </w:r>
    </w:p>
    <w:p>
      <w:r>
        <w:t>用户已确认CEC来自基线采血。主要假设为：HDL-C、头颅大小及其他预设背景相近时，CEC每升高1个标准差与较大GM119灰质总体积相关。纳入成年缺血性卒中患者，CEC、GM119、ICV及主要模型需要的急性梗死体积和基线采血时间可用；不要求WMH或UACR检测完整。</w:t>
      </w:r>
    </w:p>
    <w:p>
      <w:r>
        <w:t>主要模型为HC3稳健标准误的线性回归，结局GM119单位mL，主要检验为CEC系数等于零。使用灰质体积并单独调整ICV，不自动换成灰质/ICV比值。CEC在该队列中按1 SD标准化，保存均值、标准差和原始单位。</w:t>
      </w:r>
    </w:p>
    <w:p>
      <w:r>
        <w:t>主要模型M1调整共同背景C、BMI、教育、基线胱抑素C、LDL-C、TG、卒中前他汀、采血距发病时间、急性梗死体积、ICV及HDL-C。TG和胱抑素C取对数，急性梗死体积取log(1＋mL)。它回答HDL胆固醇浓度相近时CEC是否仍有结构关联。该选择有原始研究依据：Dallas Heart Study表2脚注和图2明确对CEC模型加入HDL-C。[5] 这是一项条件关联定义，不由HDL-C的单因素P值决定，也不等同于已经确认HDL-C是因果混杂因素。</w:t>
      </w:r>
    </w:p>
    <w:p>
      <w:r>
        <w:t>新增M0模型，仅从M1中去掉HDL-C项，其余协变量不变。M0与M1必须使用完全相同的患者、结局、CEC尺度和M1产生的同一套完成数据；不另行插补，不因HDL-C缺失扩大M0人群。并排报告CEC系数和95%区间，不把显著性不同当成两模型效应不同，不把系数变化解释为中介比例。M1仍是唯一主要检验，M0属于敏感性分析。调整HDL-C不等于测得每个HDL颗粒的固有功能。</w:t>
      </w:r>
    </w:p>
    <w:p>
      <w:r>
        <w:t>固定次要分析包括CEC与WMH、CEC与五年三状态功能结局、同样本加入GM119后的条件关联。长期功能模型另补充卒中前mRS、NIHSS和TOAST，并有结局可观测概率加权敏感性分析。CEC三节点样条为函数形式敏感性分析。</w:t>
      </w:r>
    </w:p>
    <w:p>
      <w:r>
        <w:t>每个次要分析只要求对应指标，不因为某项次要检测缺失而缩小主要队列。本版取消Apo_AI扩展模型；HDL-C主模型及不调整HDL-C的配对比较保持不变。主版不扫描119个脑区。不能以“CEC显著而HDL-C不显著”宣布CEC预测更好；本轮没有开展外部验证或临床增益评价。</w:t>
      </w:r>
    </w:p>
    <w:p>
      <w:r>
        <w:t>图表并列M0、M1的效应及95%区间。CEC负值、非有限值和非空不可解析值仅从CEC研究排除，记录原因，不插补、不再确认；零值允许，普通缺失单列，不按分位数截尾。原始数据不改，单位冲突仍报告。</w:t>
      </w:r>
    </w:p>
    <w:p>
      <w:pPr>
        <w:pStyle w:val="Heading1"/>
        <w:pageBreakBefore/>
      </w:pPr>
      <w:r>
        <w:t>06 脑肾微血管损伤</w:t>
      </w:r>
    </w:p>
    <w:p>
      <w:r>
        <w:t>CNSR-III已发表基线和3个月白蛋白尿与一年预后的分析，持续白蛋白尿与不良结局相关。[6] 本研究将持续白蛋白尿视为可能的全身微血管异常标志，WMH视为既有脑损伤表型，检验两者与远期依赖的关联是否相互修饰。卒中患者中UACR与白质病变严重程度的关联为该假设提供背景依据，但并未证明两者存在交互。[12]</w:t>
      </w:r>
    </w:p>
    <w:p>
      <w:r>
        <w:t>主要假设是：在恢复期功能、血压、肾脏滤过功能及其他预设背景因素相近时，持续白蛋白尿相对两次均低与五年依赖的关联，随基线WMH负担增加而增强。交互零假设为对应系数等于零，采用双侧检验，效应方向单独解释。</w:t>
      </w:r>
    </w:p>
    <w:p>
      <w:r>
        <w:t>纳入3个月存活的成年缺血性卒中患者，两次UACR、WMH和ICV均实际可用；不限3个月mRS 0–2。BSL_UACR和M03_UACR单位固定为mg/mmol，以≥3定义升高，参照KDIGO类别界值。[7] 两次升高不直接等同于完成了慢性肾病诊断。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基线UACR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3个月UACR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两次均低 参照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基线升高后降低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恢复期新升高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交互模型和临床解释</w:t>
      </w:r>
    </w:p>
    <w:p>
      <w:r>
        <w:t>保留独立、依赖、死亡三状态多分类logistic。设W为标准化log(1＋WMH)，A1、A2、A3分别是基线升高后降低、恢复期新升高、持续升高指示变量，两次均低为参照。依赖和死亡两个方程均包括W、三个A主效应以及A1×W、A2×W、A3×W，不将其他两类患者合并到参照组。</w:t>
      </w:r>
    </w:p>
    <w:p>
      <w:r>
        <w:t>唯一主要检验为依赖方程A3×W系数等于零，1自由度。系数取指数表示WMH增加1 SD时，“持续升高相对两次均低”的依赖/独立相对概率比如何变化；大于1支持预期增强方向，小于1为相反方向。它不是复发HR。A3主效应仅代表W中心位置的对比，不能称为整个WMH范围的统一效应。</w:t>
      </w:r>
    </w:p>
    <w:p>
      <w:r>
        <w:t>调整C、BMI、教育、3个月胱抑素C、3个月SBP、出院ACEI/ARB、3个月mRS和ICV。WMH及白蛋白尿均为核心研究指标。无Hcy要求，不使用含义为表皮生长因子受体的eGFR字段。四种白蛋白尿状态不足以估计预设模型时明确报告，不自动改参照或合并类别。</w:t>
      </w:r>
    </w:p>
    <w:p>
      <w:r>
        <w:t>主图沿连续WMH展示持续升高与两次均低的五年依赖概率，以及两者的绝对概率差。标准化使用同一分析人群的协变量分布。展示范围取两组各自WMH第2.5–97.5百分位的交集，每组至少20人；不将范围限制用于队列筛选。区间通过完整跨方程协方差和两场景共享系数的协方差计算，再按Rubin合并，无需bootstrap。</w:t>
      </w:r>
    </w:p>
    <w:p>
      <w:r>
        <w:t>三个类别交互的3自由度整体检验列为次要。另以连续log(1＋M03_UACR)×W检验方向，并调整基线log(1＋UACR)。保留不含交互的原条件关联模型为次要，以及临床＋WMH模型与增加白蛋白尿类别的增量联合检验。基线UACR与WMH结构模型仅用基线调整因素；不加入未来的3个月指标。</w:t>
      </w:r>
    </w:p>
    <w:p>
      <w:r>
        <w:t>完整病例、NIHSS/TOAST/急性梗死的同子样本扩展和结局可观测概率加权均保留交互。概率差属于补充描述，不将其与相对概率尺度的交互检验混为一谈；二者可有不同结论。两种损伤并存者结局更差本身不能证明交互或生物协同。[13]</w:t>
      </w:r>
    </w:p>
    <w:p>
      <w:pPr>
        <w:pStyle w:val="Heading1"/>
        <w:pageBreakBefore/>
      </w:pPr>
      <w:r>
        <w:t>协变量选择和估计范围</w:t>
      </w:r>
    </w:p>
    <w:p>
      <w:r>
        <w:t>共同背景C固定为年龄、性别、吸烟、饮酒、高血压、糖尿病和既往卒中。选择依据是暴露、结局的已知决定因素及临床时间顺序，结合修正析取原因准则。[8] 这是一种基于外部知识的调整策略，而不是单靠当前数据证明某变量是混杂因素。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变量角色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假定路径或统计用途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本方案如何处理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年龄与性别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影响脑结构、代谢指标和后续结局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固定调整，年龄三节点样条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生活方式及既往血管病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可能共同影响测量暴露与结局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按已定义分类固定进入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肾功能及脂质背景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影响血液指标或血压，并与脑损伤和预后有关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各研究按问题选定，不统一加入所有标志物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ICV与采血时点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分别处理头颅大小与急性期测量差异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按研究固定纳入，不称为干预对象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NIHSS 梗死 mRS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描述本次损伤及恢复期状态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估计损伤和功能相近时的条件关联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随访后复发与处方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可能处于研究起点之后的过程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不作为基线混杂因素自动调整</w:t>
            </w:r>
          </w:p>
        </w:tc>
      </w:tr>
    </w:tbl>
    <w:p>
      <w:pPr>
        <w:spacing w:after="40"/>
      </w:pPr>
    </w:p>
    <w:p>
      <w:r>
        <w:t>简化因果思路为：既往背景因素同时指向研究暴露和结局；测量因素影响测得的影像或化验；本次损伤与恢复期功能决定临床起点。研究01和06对3个月功能条件化，明确偏离“影像对结局的总因果效应”目标。本方案不声称一个调整集合已经消除了全部混杂。</w:t>
      </w:r>
    </w:p>
    <w:p>
      <w:r>
        <w:t>统计数据用于检查编码是否正确、模型矩阵是否满秩、参数是否足够精确和模型假设是否适合。单因素P值、逐步回归和机器学习重要性不用于识别混杂或改变主要调整集合。整列未测不能用插补补造；常量或稀疏类别造成不可估计时，输出失败原因，不能为得到显著结果自动删变量。</w:t>
      </w:r>
    </w:p>
    <w:p>
      <w:r>
        <w:t>分类参考值按字典顺序在实际观察类别中固定。脑肾模型的白蛋白尿参照固定为两次均低，四种预设状态必须可用以估计完整交互模型。其他协变量某合法类别完全未出现时没有相应系数，这不是删除变量。子队列使固定矩阵奇异时明确失败，不临时合并类别。</w:t>
      </w:r>
    </w:p>
    <w:p>
      <w:pPr>
        <w:pStyle w:val="Heading1"/>
        <w:pageBreakBefore/>
      </w:pPr>
      <w:r>
        <w:t>缺失资料和合并推断</w:t>
      </w:r>
    </w:p>
    <w:p>
      <w:r>
        <w:t>每项研究及需要不同结局或额外协变量的扩展模型，独立建立插补模型；CEC的M0直接复用M1完成数据。其余模型默认50份、10次迭代并记录随机种子。只插补散在缺失协变量，不插补ID、年龄等入组资格、主要暴露、影像、结局、事件时间或整列未测项目。已观测值原样保留。</w:t>
      </w:r>
    </w:p>
    <w:p>
      <w:r>
        <w:t>插补模型包含该研究的暴露、结局及可用的非线性和交互辅助项。血压生存模型包含事件指示及考虑延迟入组的Nelson–Aalen累计风险信息，参照White与Royston的生存插补思路。[9] 非线性和交互项在每份完成数据中重新计算；miceforest的FCS仍是近似兼容方法，MAR也不能由诊断图证明。</w:t>
      </w:r>
    </w:p>
    <w:p>
      <w:r>
        <w:t>标量系数和临床对比使用Rubin规则：总方差等于平均插补内方差，加上包含有限插补修正的插补间方差。任一线性对比使用完整协方差c′Vc，不仅使用对角标准误。多参数检验采用Li、Raghunathan与Rubin的D1方法，基于平均系数、平均协方差及插补间变异计算F统计量和自由度。[10,11] 不平均各次插补P值。</w:t>
      </w:r>
    </w:p>
    <w:p>
      <w:r>
        <w:t>四项唯一主要检验报告双侧原始P及95%区间，总汇报补充固定四项Holm校正。未估计的预设主要检验仍占据四项家庭位置，调整计算内部按P=1处理，但该项目自身结果显示未估计而非P=1。次要分析在研究内固定家庭做BH-FDR；敏感性分析以方向、大小和区间稳定性解释。</w:t>
      </w:r>
    </w:p>
    <w:p>
      <w:r>
        <w:t>功能结局未知者不进入主要结局模型，也不视为独立。可观测概率加权分析先在符合起点资格的全体人群中，根据起点时已知的暴露及调整因素拟合结局是否可观测，再对有结局者使用逆概率权重。报告最小观测概率、最大权重、99百分位及有效样本量。默认不自动截断权重；分离或不可估计明确报告。</w:t>
      </w:r>
    </w:p>
    <w:p>
      <w:r>
        <w:t>权重模型和结局模型的估计不确定性通过堆叠估计方程的sandwich协方差传播，再按Rubin规则合并。权重分析不能处理完全由未观测功能状态决定的失访；极端权重提示外推和精度问题，不证明存在或不存在选择偏倚。</w:t>
      </w:r>
    </w:p>
    <w:p>
      <w:pPr>
        <w:pStyle w:val="Heading1"/>
        <w:pageBreakBefore/>
      </w:pPr>
      <w:r>
        <w:t>诊断和结果判定</w:t>
      </w:r>
    </w:p>
    <w:p>
      <w:r>
        <w:t>每个模型保留实际入模病例清单、变量定义、尺度、节点、参考类别、系数、协方差推断结果、插补诊断和数值状态。多分类模型检验三个结局状态是否均有观察；线性模型报告HC3推断、杠杆值及Cook距离；Cox检查设计矩阵、信息矩阵、得分收敛和Schoenfeld残差与时间的描述性关联。</w:t>
      </w:r>
    </w:p>
    <w:p>
      <w:r>
        <w:t>血压Cox使用经验证的无惩罚求解器。必要时仅作可逆的中心缩放并以另一优化起点求解同一似然，不改模型、不删协变量。预设分段模型承担时间变化的正式敏感性检验。没有自动将不收敛模型改成惩罚模型或更换结局的路径。</w:t>
      </w:r>
    </w:p>
    <w:p>
      <w:r>
        <w:t>结果至少区分三种状态：已估计且效应方向与假设一致；已估计但证据不足或方向不同；因数据或数值条件未估计。P&gt;0.05不证明无关联；P&lt;0.05也不代表临床差异有意义。联合检验与单项估计须一起阅读。对四项研究中恰好显著的一项，不能忽略共同探索背景及多重比较。</w:t>
      </w:r>
    </w:p>
    <w:p>
      <w:r>
        <w:t>不存在预填的样本量或功效结论。工作站审计将输出实际模型参数数、结局类别数或事件数。用事件/参数比和区间宽度描述精度压力，不把一个经验阈值当作删变量的自动规则。</w:t>
      </w:r>
    </w:p>
    <w:p>
      <w:r>
        <w:t>合成验证覆盖三类模型、零效应与已知效应、延迟入组、近似FCS、完整协方差对比及D1公式。重复模拟报告偏差、偏差的Monte Carlo标准误、95%区间覆盖率、拒绝率及其Wilson区间；模拟本身有抽样不确定性。通过这些检查只能证明在所设数据生成条件下实现表现合理，不能认证真实队列的模型适用性或缺失机制。</w:t>
      </w:r>
    </w:p>
    <w:p>
      <w:r>
        <w:t>本方案的主要研究效应来自同一卒中队列，仍有指数事件选择、参与生物标志物子研究的选择和剩余混杂。它们限定解释范围；不能以此为由改写已经固定的主要假设。涉及的原研究伦理、二次分析权限和在研课题重叠需由研究团队在正式研究启动前确认，代码不会声称这些事项已完成。</w:t>
      </w:r>
    </w:p>
    <w:p>
      <w:pPr>
        <w:pStyle w:val="Heading1"/>
        <w:pageBreakBefore/>
      </w:pPr>
      <w:r>
        <w:t>字段接口和执行顺序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已提供来源或处理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ID和人群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code_n字符串精确连接；AGE；D_DIAG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功能状态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F3_MRS、D_MRS、F12_MRS、m24_mrs、m36_mrs、m48_mrs、m60_mrs及相应死亡记录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血压与起点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F3_LSBP、F3_RSBP及同侧DBP；F3_DATE；12个月使用F12对应字段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冠心病跳答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H_CHD、H_HD、H_CHD_TP 原始值与推导值均保留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五年复发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Y5_IS、Y5_IS_DD；既有1至4年记录只作一致性核验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CEC和常规血脂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CEC、BSL_HDL、BSL_LDL、BSL_TG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肾脏指标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BSL_UACR、M03_UACR；BSL_CYSC、M03_CYSC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影像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全掩膜校正WMH、原始WMH、真实ICV702、GM119、急性梗死体积</w:t>
            </w:r>
          </w:p>
        </w:tc>
      </w:tr>
    </w:tbl>
    <w:p>
      <w:pPr>
        <w:spacing w:after="40"/>
      </w:pPr>
    </w:p>
    <w:p>
      <w:r>
        <w:t>从用户给定目录递归扫描SAS，按研究白名单提取CSV，保留来源路径、标签、日期格式、原编码和特殊缺失。多来源冲突要求明确variable_sources；重复ID不静默聚合。原始数据只读。</w:t>
      </w:r>
    </w:p>
    <w:p>
      <w:r>
        <w:t>不新增中心变量、发病至MRI间隔或人工影像质控门槛。日期、单位、编码和体积有效性检查属于数据接口检查。不会以20个区域WMH之和替代全脑体积，不采用SuStaIn健康锚定和40特征完整性门槛。3个月访视日期不以采血日期替代，UACR按已标注波次定义。</w:t>
      </w:r>
    </w:p>
    <w:p>
      <w:r>
        <w:t>工作站只需执行wmh-study start。命令从最新输入重新准备四个队列，自动保存来源、覆盖交集、排除、结局、缺失和冲突，随后连续拟合并生成报告，无需另输审计或启动命令。真实输入错误只阻断对应研究，其余研究继续，最后汇总状态。audit和diagnose保留为可选诊断入口；start --study cec等可单独重跑。</w:t>
      </w:r>
    </w:p>
    <w:p>
      <w:r>
        <w:t>新增结果位于outputs/real/studies下，按研究和时间戳分目录。旧Hcy及recurrence_v3输出保持原状。本地患者CSV和病例清单不随GitHub发布。更换数据来源或修正原始数据后重新准备队列，不手改已冻结快照。</w:t>
      </w:r>
    </w:p>
    <w:p>
      <w:pPr>
        <w:pStyle w:val="Heading1"/>
        <w:pageBreakBefore/>
      </w:pPr>
      <w:r>
        <w:t>参考文献</w:t>
      </w:r>
    </w:p>
    <w:p>
      <w:r>
        <w:t>[1] Schirmer MD等. Brain Volume: An Important Determinant of Functional Outcome After Acute Ischemic Stroke. Mayo Clinic Proceedings, 2020. PMID 32370856. DOI 10.1016/j.mayocp.2020.01.027. https://pubmed.ncbi.nlm.nih.gov/32370856/</w:t>
      </w:r>
    </w:p>
    <w:p>
      <w:r>
        <w:t>[2] Jiang YY等. Long-term recovery of disabling ischemic stroke: Five-year follow-up of a prospective cohort study. International Journal of Stroke, 2026;21(4):495–504，2025年在线发表. PMID 41099400. DOI 10.1177/17474930251390688. https://pubmed.ncbi.nlm.nih.gov/41099400/</w:t>
      </w:r>
    </w:p>
    <w:p>
      <w:r>
        <w:t>[3] Ikeme JC等. SPS3试验的WMH 肾功能下降与强化降压后卒中复发分析. Journal of the American Heart Association, 2019. DOI 10.1161/JAHA.118.010091. https://pmc.ncbi.nlm.nih.gov/articles/PMC6405594/</w:t>
      </w:r>
    </w:p>
    <w:p>
      <w:r>
        <w:t>[4] Muntner P等. Measurement of Blood Pressure in Humans: A Scientific Statement From the American Heart Association. Hypertension, 2019. DOI 10.1161/HYP.0000000000000087. https://pmc.ncbi.nlm.nih.gov/articles/PMC11409525/</w:t>
      </w:r>
    </w:p>
    <w:p>
      <w:r>
        <w:t>[5] Giacona JM等. Associations Between High-Density Lipoprotein Cholesterol Efflux and Brain Grey Matter Volume. Journal of Clinical Medicine, 2024. DOI 10.3390/jcm13206218. https://pmc.ncbi.nlm.nih.gov/articles/PMC11509043/</w:t>
      </w:r>
    </w:p>
    <w:p>
      <w:r>
        <w:t>[6] Wang D等. The Association between Baseline and 3-Month Albuminuria and 1-Year Prognosis of Ischemic Stroke. Cerebrovascular Diseases, 2022;51(1):67–74. PMID 34515069. DOI 10.1159/000518180. https://pubmed.ncbi.nlm.nih.gov/34515069/</w:t>
      </w:r>
    </w:p>
    <w:p>
      <w:pPr>
        <w:pStyle w:val="Heading1"/>
        <w:pageBreakBefore/>
      </w:pPr>
      <w:r>
        <w:t>统计方法参考与版本记录</w:t>
      </w:r>
    </w:p>
    <w:p>
      <w:r>
        <w:t>[7] KDIGO. CKD classification and albuminuria categories, 2024. 本方案使用UACR mg/mmol分类界值。https://kdigo.org/wp-content/uploads/2024/07/07232024-KDIGO-CKD.pdf</w:t>
      </w:r>
    </w:p>
    <w:p>
      <w:r>
        <w:t>[8] VanderWeele TJ. Principles of confounder selection. European Journal of Epidemiology, 2019. DOI 10.1007/s10654-019-00494-6. https://pmc.ncbi.nlm.nih.gov/articles/PMC6447501/</w:t>
      </w:r>
    </w:p>
    <w:p>
      <w:r>
        <w:t>[9] White IR, Royston P. Imputing missing covariate values for the Cox model. Statistics in Medicine, 2009. PMID 19452569. https://pubmed.ncbi.nlm.nih.gov/19452569/</w:t>
      </w:r>
    </w:p>
    <w:p>
      <w:r>
        <w:t>[10] Li KH, Raghunathan TE, Rubin DB. Large-sample significance levels from multiply imputed data using moment-based statistics and an F reference distribution. Journal of the American Statistical Association, 1991. DOI 10.1080/01621459.1991.10475152.</w:t>
      </w:r>
    </w:p>
    <w:p>
      <w:r>
        <w:t>[11] van Buuren S. Flexible Imputation of Missing Data. Multiparameter inference章节，D1合并Wald检验公式说明。https://stefvanbuuren.name/fimd/sec-multiparameter.html</w:t>
      </w:r>
    </w:p>
    <w:p>
      <w:r>
        <w:t>[12] Urinary albumin-to-creatinine ratio is associated with white matter lesions severity in first-ever stroke patients. 2017. PMID 28131201. https://pubmed.ncbi.nlm.nih.gov/28131201/</w:t>
      </w:r>
    </w:p>
    <w:p>
      <w:r>
        <w:t>[13] VanderWeele TJ, Knol MJ. A Tutorial on Interaction. Epidemiologic Methods, 2014;3(1):33–72. DOI 10.1515/em-2013-0005. https://doi.org/10.1515/em-2013-0005</w:t>
      </w:r>
    </w:p>
    <w:p>
      <w:r>
        <w:t>文献用途分别为临床背景、具体暴露选择、测量原则、协变量选择和合并推断。不同人群的影像关联不能替代本队列验证；随机血压目标试验不能直接赋予观察性实测血压因果含义。</w:t>
      </w:r>
    </w:p>
    <w:p>
      <w:r>
        <w:t>第五版标识为imaging_four_studies_20260918_v5。根据研究者2026年9月18日决定，明确排除非法CEC测量，并以start一键完成准备、分析和报告。第四版取消IMG_ICAS和Apo_AI；第三版移除神经酰胺及视觉重度WMH分析，并加入冠心病跳答规则。原编号01、02、05、06和四项主要检验保持不变，报告p_holm_four；研究内次要分析BH-FDR家庭不变。修订不依据效应或P值。旧结果保留并标为PREVIOUS_VERSION，不与本版混合；本次修订不称为原始预注册方案。</w:t>
      </w:r>
    </w:p>
    <w:p>
      <w:r>
        <w:t>流程自动检查每项研究的字段来源、单位、临床影像交集、五年三状态人数或血压风险集事件数。任何关于有效样本、精度或最终发现的陈述，必须以工作站新运行的审计与结果为依据。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CNSR III  影像与长期预后  |  统计分析方案  |  2026年9月18日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CNSR III影像与长期预后四项独立研究统计分析方案</dc:title>
  <dc:subject>四项独立研究 统计方法及工作站实施</dc:subject>
  <dc:creator>CNSR III研究项目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