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C1" w:rsidRPr="00D308C1" w:rsidRDefault="00D308C1" w:rsidP="00D308C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AR"/>
        </w:rPr>
      </w:pPr>
      <w:r w:rsidRPr="00D308C1">
        <w:rPr>
          <w:rFonts w:ascii="Arial" w:eastAsia="Times New Roman" w:hAnsi="Arial" w:cs="Arial"/>
          <w:vanish/>
          <w:sz w:val="16"/>
          <w:szCs w:val="16"/>
          <w:lang w:eastAsia="es-AR"/>
        </w:rPr>
        <w:t>Principio del formulario</w:t>
      </w:r>
    </w:p>
    <w:p w:rsidR="00D308C1" w:rsidRDefault="00D308C1" w:rsidP="00D308C1">
      <w:pPr>
        <w:rPr>
          <w:lang w:eastAsia="es-AR"/>
        </w:rPr>
      </w:pPr>
      <w:r w:rsidRPr="00D308C1">
        <w:rPr>
          <w:lang w:eastAsia="es-AR"/>
        </w:rPr>
        <w:t>Desarrollar los siguientes puntos utilizando la bibliog</w:t>
      </w:r>
      <w:bookmarkStart w:id="0" w:name="_GoBack"/>
      <w:bookmarkEnd w:id="0"/>
      <w:r w:rsidRPr="00D308C1">
        <w:rPr>
          <w:lang w:eastAsia="es-AR"/>
        </w:rPr>
        <w:t>rafía de la cátedra y/o sitios de internet (mencionando la fuente). Si desea, puede acompañar algunos conceptos con gráficos ilustrativos.</w:t>
      </w:r>
    </w:p>
    <w:p w:rsidR="00D308C1" w:rsidRPr="00D308C1" w:rsidRDefault="00D308C1" w:rsidP="00D308C1">
      <w:pPr>
        <w:numPr>
          <w:ilvl w:val="0"/>
          <w:numId w:val="1"/>
        </w:numPr>
        <w:spacing w:after="0" w:line="240" w:lineRule="auto"/>
        <w:rPr>
          <w:rFonts w:ascii="inherit" w:eastAsia="Times New Roman" w:hAnsi="inherit" w:cs="Arial"/>
          <w:color w:val="262626"/>
          <w:sz w:val="21"/>
          <w:szCs w:val="21"/>
          <w:lang w:eastAsia="es-AR"/>
        </w:rPr>
      </w:pP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Describa el </w:t>
      </w:r>
      <w:r w:rsidRPr="00D308C1">
        <w:rPr>
          <w:rFonts w:ascii="inherit" w:eastAsia="Times New Roman" w:hAnsi="inherit" w:cs="Arial"/>
          <w:b/>
          <w:bCs/>
          <w:color w:val="262626"/>
          <w:sz w:val="21"/>
          <w:szCs w:val="21"/>
          <w:lang w:eastAsia="es-AR"/>
        </w:rPr>
        <w:t>método de la recta tangente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 para aproximar la raíz de una función en un intervalo.</w:t>
      </w:r>
    </w:p>
    <w:p w:rsidR="00D308C1" w:rsidRPr="00D308C1" w:rsidRDefault="00D308C1" w:rsidP="00D308C1">
      <w:pPr>
        <w:numPr>
          <w:ilvl w:val="0"/>
          <w:numId w:val="1"/>
        </w:numPr>
        <w:spacing w:after="0" w:line="240" w:lineRule="auto"/>
        <w:rPr>
          <w:rFonts w:ascii="inherit" w:eastAsia="Times New Roman" w:hAnsi="inherit" w:cs="Arial"/>
          <w:color w:val="262626"/>
          <w:sz w:val="21"/>
          <w:szCs w:val="21"/>
          <w:lang w:eastAsia="es-AR"/>
        </w:rPr>
      </w:pP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Exprese: la </w:t>
      </w:r>
      <w:r w:rsidRPr="00D308C1">
        <w:rPr>
          <w:rFonts w:ascii="inherit" w:eastAsia="Times New Roman" w:hAnsi="inherit" w:cs="Arial"/>
          <w:b/>
          <w:color w:val="262626"/>
          <w:sz w:val="21"/>
          <w:szCs w:val="21"/>
          <w:lang w:eastAsia="es-AR"/>
        </w:rPr>
        <w:t>regla de la cadena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 y la </w:t>
      </w:r>
      <w:r w:rsidRPr="00D308C1">
        <w:rPr>
          <w:rFonts w:ascii="inherit" w:eastAsia="Times New Roman" w:hAnsi="inherit" w:cs="Arial"/>
          <w:b/>
          <w:color w:val="262626"/>
          <w:sz w:val="21"/>
          <w:szCs w:val="21"/>
          <w:lang w:eastAsia="es-AR"/>
        </w:rPr>
        <w:t>noción de derivada n-ésima (ó "sucesiva")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 en </w:t>
      </w:r>
      <w:r w:rsidRPr="00D308C1">
        <w:rPr>
          <w:rFonts w:ascii="inherit" w:eastAsia="Times New Roman" w:hAnsi="inherit" w:cs="Arial"/>
          <w:b/>
          <w:bCs/>
          <w:color w:val="262626"/>
          <w:sz w:val="21"/>
          <w:szCs w:val="21"/>
          <w:lang w:eastAsia="es-AR"/>
        </w:rPr>
        <w:t>notación de Leibnitz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>.</w:t>
      </w:r>
    </w:p>
    <w:p w:rsidR="00D308C1" w:rsidRPr="00D308C1" w:rsidRDefault="00D308C1" w:rsidP="00D308C1">
      <w:pPr>
        <w:numPr>
          <w:ilvl w:val="0"/>
          <w:numId w:val="1"/>
        </w:numPr>
        <w:spacing w:after="0" w:line="240" w:lineRule="auto"/>
        <w:rPr>
          <w:rFonts w:ascii="inherit" w:eastAsia="Times New Roman" w:hAnsi="inherit" w:cs="Arial"/>
          <w:color w:val="262626"/>
          <w:sz w:val="21"/>
          <w:szCs w:val="21"/>
          <w:lang w:eastAsia="es-AR"/>
        </w:rPr>
      </w:pP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Defina 1 (uno) a elección: </w:t>
      </w:r>
      <w:r w:rsidRPr="00D308C1">
        <w:rPr>
          <w:rFonts w:ascii="inherit" w:eastAsia="Times New Roman" w:hAnsi="inherit" w:cs="Arial"/>
          <w:b/>
          <w:bCs/>
          <w:color w:val="262626"/>
          <w:sz w:val="21"/>
          <w:szCs w:val="21"/>
          <w:lang w:eastAsia="es-AR"/>
        </w:rPr>
        <w:t>sólido de revolución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, </w:t>
      </w:r>
      <w:r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>o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 </w:t>
      </w:r>
      <w:r w:rsidRPr="00D308C1">
        <w:rPr>
          <w:rFonts w:ascii="inherit" w:eastAsia="Times New Roman" w:hAnsi="inherit" w:cs="Arial"/>
          <w:b/>
          <w:bCs/>
          <w:color w:val="262626"/>
          <w:sz w:val="21"/>
          <w:szCs w:val="21"/>
          <w:lang w:eastAsia="es-AR"/>
        </w:rPr>
        <w:t>longitud de arco de curva</w:t>
      </w: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 utilizando la noción de integrales.</w:t>
      </w:r>
    </w:p>
    <w:p w:rsidR="00D308C1" w:rsidRPr="00D308C1" w:rsidRDefault="00D308C1" w:rsidP="00D308C1">
      <w:pPr>
        <w:numPr>
          <w:ilvl w:val="0"/>
          <w:numId w:val="1"/>
        </w:numPr>
        <w:spacing w:after="0" w:line="240" w:lineRule="auto"/>
        <w:rPr>
          <w:rFonts w:ascii="inherit" w:eastAsia="Times New Roman" w:hAnsi="inherit" w:cs="Arial"/>
          <w:color w:val="262626"/>
          <w:sz w:val="21"/>
          <w:szCs w:val="21"/>
          <w:lang w:eastAsia="es-AR"/>
        </w:rPr>
      </w:pPr>
      <w:r w:rsidRPr="00D308C1"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 xml:space="preserve">Responda 2 (dos) preguntas (a elección) de la guía </w:t>
      </w:r>
      <w:r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>«</w:t>
      </w:r>
      <w:r w:rsidRPr="00D308C1">
        <w:rPr>
          <w:rFonts w:ascii="inherit" w:eastAsia="Times New Roman" w:hAnsi="inherit" w:cs="Arial"/>
          <w:b/>
          <w:color w:val="262626"/>
          <w:sz w:val="21"/>
          <w:szCs w:val="21"/>
          <w:lang w:eastAsia="es-AR"/>
        </w:rPr>
        <w:t>Trabajo práctico único (anexo).pdf</w:t>
      </w:r>
      <w:r>
        <w:rPr>
          <w:rFonts w:ascii="inherit" w:eastAsia="Times New Roman" w:hAnsi="inherit" w:cs="Arial"/>
          <w:color w:val="262626"/>
          <w:sz w:val="21"/>
          <w:szCs w:val="21"/>
          <w:lang w:eastAsia="es-AR"/>
        </w:rPr>
        <w:t>».</w:t>
      </w:r>
    </w:p>
    <w:p w:rsidR="00D308C1" w:rsidRDefault="00D308C1" w:rsidP="00D308C1">
      <w:pPr>
        <w:spacing w:after="0" w:line="240" w:lineRule="auto"/>
        <w:rPr>
          <w:rFonts w:ascii="inherit" w:eastAsia="Times New Roman" w:hAnsi="inherit" w:cs="Arial"/>
          <w:color w:val="262626"/>
          <w:sz w:val="21"/>
          <w:szCs w:val="21"/>
          <w:lang w:eastAsia="es-AR"/>
        </w:rPr>
      </w:pPr>
    </w:p>
    <w:p w:rsidR="00D308C1" w:rsidRPr="00D308C1" w:rsidRDefault="00D308C1" w:rsidP="00D308C1">
      <w:pPr>
        <w:rPr>
          <w:lang w:eastAsia="es-AR"/>
        </w:rPr>
      </w:pPr>
      <w:r w:rsidRPr="00D308C1">
        <w:rPr>
          <w:lang w:eastAsia="es-AR"/>
        </w:rPr>
        <w:t>Entregue en un documento único (</w:t>
      </w:r>
      <w:r w:rsidRPr="00D308C1">
        <w:rPr>
          <w:b/>
          <w:bCs/>
          <w:lang w:eastAsia="es-AR"/>
        </w:rPr>
        <w:t>de extensión máxima = 4 carillas)</w:t>
      </w:r>
      <w:r w:rsidRPr="00D308C1">
        <w:rPr>
          <w:lang w:eastAsia="es-AR"/>
        </w:rPr>
        <w:t>:</w:t>
      </w:r>
    </w:p>
    <w:p w:rsidR="00D308C1" w:rsidRPr="00D308C1" w:rsidRDefault="00D308C1" w:rsidP="00D308C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AR"/>
        </w:rPr>
      </w:pPr>
      <w:r w:rsidRPr="00D308C1">
        <w:rPr>
          <w:rFonts w:ascii="Arial" w:eastAsia="Times New Roman" w:hAnsi="Arial" w:cs="Arial"/>
          <w:vanish/>
          <w:sz w:val="16"/>
          <w:szCs w:val="16"/>
          <w:lang w:eastAsia="es-AR"/>
        </w:rPr>
        <w:t>Final del formulario</w:t>
      </w:r>
    </w:p>
    <w:p w:rsidR="00372A09" w:rsidRDefault="00FF5D65"/>
    <w:sectPr w:rsidR="00372A09" w:rsidSect="009F672E">
      <w:headerReference w:type="default" r:id="rId8"/>
      <w:pgSz w:w="11906" w:h="16838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D65" w:rsidRDefault="00FF5D65" w:rsidP="009F672E">
      <w:pPr>
        <w:spacing w:after="0" w:line="240" w:lineRule="auto"/>
      </w:pPr>
      <w:r>
        <w:separator/>
      </w:r>
    </w:p>
  </w:endnote>
  <w:endnote w:type="continuationSeparator" w:id="0">
    <w:p w:rsidR="00FF5D65" w:rsidRDefault="00FF5D65" w:rsidP="009F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D65" w:rsidRDefault="00FF5D65" w:rsidP="009F672E">
      <w:pPr>
        <w:spacing w:after="0" w:line="240" w:lineRule="auto"/>
      </w:pPr>
      <w:r>
        <w:separator/>
      </w:r>
    </w:p>
  </w:footnote>
  <w:footnote w:type="continuationSeparator" w:id="0">
    <w:p w:rsidR="00FF5D65" w:rsidRDefault="00FF5D65" w:rsidP="009F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72E" w:rsidRPr="009F672E" w:rsidRDefault="009F672E" w:rsidP="009F672E">
    <w:pPr>
      <w:rPr>
        <w:sz w:val="16"/>
        <w:szCs w:val="16"/>
      </w:rPr>
    </w:pPr>
    <w:r w:rsidRPr="009F672E">
      <w:rPr>
        <w:sz w:val="16"/>
        <w:szCs w:val="16"/>
      </w:rPr>
      <w:t>V</w:t>
    </w:r>
    <w:r w:rsidRPr="009F672E">
      <w:rPr>
        <w:sz w:val="16"/>
        <w:szCs w:val="16"/>
      </w:rPr>
      <w:t>enc</w:t>
    </w:r>
    <w:r w:rsidRPr="009F672E">
      <w:rPr>
        <w:sz w:val="16"/>
        <w:szCs w:val="16"/>
      </w:rPr>
      <w:t>imiento:</w:t>
    </w:r>
    <w:r w:rsidRPr="009F672E">
      <w:rPr>
        <w:sz w:val="16"/>
        <w:szCs w:val="16"/>
      </w:rPr>
      <w:t xml:space="preserve"> 14/07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953137"/>
    <w:multiLevelType w:val="multilevel"/>
    <w:tmpl w:val="95C64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DE6"/>
    <w:rsid w:val="00452DE6"/>
    <w:rsid w:val="00944D77"/>
    <w:rsid w:val="009F672E"/>
    <w:rsid w:val="00A77FA0"/>
    <w:rsid w:val="00C73238"/>
    <w:rsid w:val="00D308C1"/>
    <w:rsid w:val="00F60C5E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7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D30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308C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308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308C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30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308C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308C1"/>
    <w:rPr>
      <w:color w:val="0000FF"/>
      <w:u w:val="singl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308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308C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F67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72E"/>
  </w:style>
  <w:style w:type="paragraph" w:styleId="Piedepgina">
    <w:name w:val="footer"/>
    <w:basedOn w:val="Normal"/>
    <w:link w:val="PiedepginaCar"/>
    <w:uiPriority w:val="99"/>
    <w:unhideWhenUsed/>
    <w:rsid w:val="009F67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72E"/>
  </w:style>
  <w:style w:type="character" w:customStyle="1" w:styleId="Ttulo1Car">
    <w:name w:val="Título 1 Car"/>
    <w:basedOn w:val="Fuentedeprrafopredeter"/>
    <w:link w:val="Ttulo1"/>
    <w:uiPriority w:val="9"/>
    <w:rsid w:val="009F67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7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D30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308C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308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308C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30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308C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308C1"/>
    <w:rPr>
      <w:color w:val="0000FF"/>
      <w:u w:val="singl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308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308C1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F67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72E"/>
  </w:style>
  <w:style w:type="paragraph" w:styleId="Piedepgina">
    <w:name w:val="footer"/>
    <w:basedOn w:val="Normal"/>
    <w:link w:val="PiedepginaCar"/>
    <w:uiPriority w:val="99"/>
    <w:unhideWhenUsed/>
    <w:rsid w:val="009F67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72E"/>
  </w:style>
  <w:style w:type="character" w:customStyle="1" w:styleId="Ttulo1Car">
    <w:name w:val="Título 1 Car"/>
    <w:basedOn w:val="Fuentedeprrafopredeter"/>
    <w:link w:val="Ttulo1"/>
    <w:uiPriority w:val="9"/>
    <w:rsid w:val="009F67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4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Tordoya</dc:creator>
  <cp:keywords/>
  <dc:description/>
  <cp:lastModifiedBy>Gerardo Tordoya</cp:lastModifiedBy>
  <cp:revision>4</cp:revision>
  <dcterms:created xsi:type="dcterms:W3CDTF">2021-06-22T11:26:00Z</dcterms:created>
  <dcterms:modified xsi:type="dcterms:W3CDTF">2021-06-22T11:45:00Z</dcterms:modified>
</cp:coreProperties>
</file>