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78" w:type="dxa"/>
        <w:tblInd w:w="-885" w:type="dxa"/>
        <w:tblLook w:val="04A0" w:firstRow="1" w:lastRow="0" w:firstColumn="1" w:lastColumn="0" w:noHBand="0" w:noVBand="1"/>
      </w:tblPr>
      <w:tblGrid>
        <w:gridCol w:w="2440"/>
        <w:gridCol w:w="4110"/>
        <w:gridCol w:w="3828"/>
      </w:tblGrid>
      <w:tr w:rsidR="008F12E3" w:rsidRPr="00042906" w14:paraId="11C8E5D6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019CD8F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Regla de Sturges</w:t>
            </w:r>
          </w:p>
        </w:tc>
        <w:tc>
          <w:tcPr>
            <w:tcW w:w="4110" w:type="dxa"/>
            <w:vAlign w:val="center"/>
          </w:tcPr>
          <w:p w14:paraId="08EFD93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c = 1 + 3,322 log N</w:t>
            </w:r>
          </w:p>
        </w:tc>
        <w:tc>
          <w:tcPr>
            <w:tcW w:w="3828" w:type="dxa"/>
            <w:vAlign w:val="center"/>
          </w:tcPr>
          <w:p w14:paraId="746CECE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c cantidad de clases (se redondea al entero más cercano)</w:t>
            </w:r>
          </w:p>
        </w:tc>
      </w:tr>
      <w:tr w:rsidR="008F12E3" w:rsidRPr="00042906" w14:paraId="388BFE87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6325F1B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acumulada</w:t>
            </w:r>
          </w:p>
        </w:tc>
        <w:tc>
          <w:tcPr>
            <w:tcW w:w="4110" w:type="dxa"/>
            <w:vAlign w:val="center"/>
          </w:tcPr>
          <w:p w14:paraId="41B71BC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uma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parcial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de las frecuencias absolutas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hasta la medida en cuestión</w:t>
            </w:r>
          </w:p>
        </w:tc>
        <w:tc>
          <w:tcPr>
            <w:tcW w:w="3828" w:type="dxa"/>
            <w:vAlign w:val="center"/>
          </w:tcPr>
          <w:p w14:paraId="28B1656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El total da el número de observaciones</w:t>
            </w:r>
          </w:p>
        </w:tc>
      </w:tr>
      <w:tr w:rsidR="008F12E3" w:rsidRPr="00042906" w14:paraId="2F61E05B" w14:textId="77777777" w:rsidTr="00971BE3">
        <w:trPr>
          <w:trHeight w:val="596"/>
        </w:trPr>
        <w:tc>
          <w:tcPr>
            <w:tcW w:w="2440" w:type="dxa"/>
            <w:shd w:val="clear" w:color="auto" w:fill="FFFFFF" w:themeFill="background1"/>
            <w:vAlign w:val="center"/>
          </w:tcPr>
          <w:p w14:paraId="6DB0604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relativa</w:t>
            </w:r>
          </w:p>
        </w:tc>
        <w:tc>
          <w:tcPr>
            <w:tcW w:w="4110" w:type="dxa"/>
            <w:vAlign w:val="center"/>
          </w:tcPr>
          <w:p w14:paraId="226A5877" w14:textId="77777777" w:rsidR="008F12E3" w:rsidRPr="00042906" w:rsidRDefault="00000000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frecuencia absoluta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total de mediciones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64D08A9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8F12E3" w:rsidRPr="00042906" w14:paraId="15A8884D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8E8D58E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relativa acumulada</w:t>
            </w:r>
          </w:p>
        </w:tc>
        <w:tc>
          <w:tcPr>
            <w:tcW w:w="4110" w:type="dxa"/>
            <w:vAlign w:val="center"/>
          </w:tcPr>
          <w:p w14:paraId="775581E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uma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parcial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de las frecuencias relativas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hasta la medida en cuestión</w:t>
            </w:r>
          </w:p>
        </w:tc>
        <w:tc>
          <w:tcPr>
            <w:tcW w:w="3828" w:type="dxa"/>
            <w:vAlign w:val="center"/>
          </w:tcPr>
          <w:p w14:paraId="2665422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La última da 1</w:t>
            </w:r>
          </w:p>
        </w:tc>
      </w:tr>
      <w:tr w:rsidR="008F12E3" w:rsidRPr="00042906" w14:paraId="14D8CB20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D819E2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porcentual</w:t>
            </w:r>
          </w:p>
        </w:tc>
        <w:tc>
          <w:tcPr>
            <w:tcW w:w="4110" w:type="dxa"/>
            <w:vAlign w:val="center"/>
          </w:tcPr>
          <w:p w14:paraId="709E2AFE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Frecuencia relativa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por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, seguido de símbolo %</w:t>
            </w:r>
          </w:p>
        </w:tc>
        <w:tc>
          <w:tcPr>
            <w:tcW w:w="3828" w:type="dxa"/>
            <w:vAlign w:val="center"/>
          </w:tcPr>
          <w:p w14:paraId="7EE43BD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Es la frecuencia relativa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pasada a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porcentaje</w:t>
            </w:r>
          </w:p>
        </w:tc>
      </w:tr>
      <w:tr w:rsidR="008F12E3" w:rsidRPr="00042906" w14:paraId="2D8421DA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BF555A0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Frecuencia porcentual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acumulada</w:t>
            </w:r>
          </w:p>
        </w:tc>
        <w:tc>
          <w:tcPr>
            <w:tcW w:w="4110" w:type="dxa"/>
            <w:vAlign w:val="center"/>
          </w:tcPr>
          <w:p w14:paraId="6DE2D482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uma 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parcial </w:t>
            </w: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de las frecuencias relativas</w:t>
            </w: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 xml:space="preserve"> porcentuales, hasta la medida en cuestión</w:t>
            </w:r>
          </w:p>
        </w:tc>
        <w:tc>
          <w:tcPr>
            <w:tcW w:w="3828" w:type="dxa"/>
            <w:vAlign w:val="center"/>
          </w:tcPr>
          <w:p w14:paraId="31FF62F5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La última da 100%</w:t>
            </w:r>
          </w:p>
        </w:tc>
      </w:tr>
      <w:tr w:rsidR="008F12E3" w:rsidRPr="00042906" w14:paraId="170EE234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411381A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Media aritmética de la población</w:t>
            </w:r>
          </w:p>
        </w:tc>
        <w:tc>
          <w:tcPr>
            <w:tcW w:w="4110" w:type="dxa"/>
            <w:vAlign w:val="center"/>
          </w:tcPr>
          <w:p w14:paraId="2462059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5F7D397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x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valores de todas las observaciones</w:t>
            </w:r>
          </w:p>
          <w:p w14:paraId="62133CC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población</w:t>
            </w:r>
          </w:p>
        </w:tc>
      </w:tr>
      <w:tr w:rsidR="008F12E3" w:rsidRPr="00042906" w14:paraId="74B22CB1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3108A4CE" w14:textId="77777777" w:rsidR="008F12E3" w:rsidRPr="00042906" w:rsidRDefault="008F12E3" w:rsidP="00213884">
            <w:pPr>
              <w:tabs>
                <w:tab w:val="left" w:pos="1725"/>
              </w:tabs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Theme="minorEastAsia" w:hAnsiTheme="majorHAnsi" w:cstheme="minorHAnsi"/>
                <w:bCs/>
                <w:noProof/>
                <w:color w:val="000000" w:themeColor="text1"/>
                <w:sz w:val="20"/>
                <w:szCs w:val="20"/>
              </w:rPr>
              <w:t>Media aritmética de la muestra</w:t>
            </w:r>
          </w:p>
        </w:tc>
        <w:tc>
          <w:tcPr>
            <w:tcW w:w="4110" w:type="dxa"/>
            <w:vAlign w:val="center"/>
          </w:tcPr>
          <w:p w14:paraId="33A74A5A" w14:textId="77777777" w:rsidR="008F12E3" w:rsidRPr="00D42627" w:rsidRDefault="00000000" w:rsidP="00213884">
            <w:pPr>
              <w:spacing w:after="0" w:line="240" w:lineRule="auto"/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33DC3E8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x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valores de todas las observaciones de la muestra</w:t>
            </w:r>
          </w:p>
          <w:p w14:paraId="2357A71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muestra</w:t>
            </w:r>
          </w:p>
        </w:tc>
      </w:tr>
      <w:tr w:rsidR="008F12E3" w:rsidRPr="00042906" w14:paraId="3A38CA5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2696E7F" w14:textId="77777777" w:rsidR="008F12E3" w:rsidRPr="00042906" w:rsidRDefault="008F12E3" w:rsidP="00213884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>Media aritmética de una muestra con datos agrupados</w:t>
            </w:r>
          </w:p>
        </w:tc>
        <w:tc>
          <w:tcPr>
            <w:tcW w:w="4110" w:type="dxa"/>
            <w:vAlign w:val="center"/>
          </w:tcPr>
          <w:p w14:paraId="51C0E310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6FD3D06D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oMath>
            <w:r w:rsidR="008F12E3"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 </w:t>
            </w:r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media de la muestra</w:t>
            </w:r>
          </w:p>
          <w:p w14:paraId="2BEFC9DA" w14:textId="77777777" w:rsidR="008F12E3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recuencia de </w:t>
            </w:r>
            <w:r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cada observación</w:t>
            </w:r>
          </w:p>
          <w:p w14:paraId="291F8B8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observaciones en la muestra</w:t>
            </w:r>
          </w:p>
        </w:tc>
      </w:tr>
      <w:tr w:rsidR="008F12E3" w:rsidRPr="00042906" w14:paraId="47D8C99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2FB7D8C1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aritmética (intervalos usando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códigos)</w:t>
            </w:r>
          </w:p>
        </w:tc>
        <w:tc>
          <w:tcPr>
            <w:tcW w:w="4110" w:type="dxa"/>
            <w:vAlign w:val="center"/>
          </w:tcPr>
          <w:p w14:paraId="3B0339D5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05CE726E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o</m:t>
                  </m:r>
                </m:sub>
              </m:sSub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valor del punto medio al que se asignó el código 0</w:t>
            </w:r>
          </w:p>
          <w:p w14:paraId="5C08957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a 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ancho numérico del intervalo de clase</w:t>
            </w:r>
          </w:p>
          <w:p w14:paraId="505AD63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u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código asignado a cada punto medio de clase</w:t>
            </w:r>
          </w:p>
        </w:tc>
      </w:tr>
      <w:tr w:rsidR="008F12E3" w:rsidRPr="00042906" w14:paraId="68BA6B2A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62BB200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ponderada</w:t>
            </w:r>
          </w:p>
        </w:tc>
        <w:tc>
          <w:tcPr>
            <w:tcW w:w="4110" w:type="dxa"/>
            <w:vAlign w:val="center"/>
          </w:tcPr>
          <w:p w14:paraId="3FC90C94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 xml:space="preserve">(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 xml:space="preserve"> 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1EF467A7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w</m:t>
                  </m:r>
                </m:sub>
              </m:sSub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símbolo para la media ponderada</w:t>
            </w:r>
          </w:p>
          <w:p w14:paraId="21393C0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w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peso asignado a cada observación</w:t>
            </w:r>
          </w:p>
          <w:p w14:paraId="2BBF86AC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 xml:space="preserve">) </m:t>
                  </m:r>
                </m:e>
              </m:nary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los productos de la ponderación de cada elemento por el elemento correspondiente</w:t>
            </w:r>
          </w:p>
          <w:p w14:paraId="6D9E3093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suma de todas las ponderaciones</w:t>
            </w:r>
          </w:p>
        </w:tc>
      </w:tr>
      <w:tr w:rsidR="008F12E3" w:rsidRPr="00042906" w14:paraId="7C80D845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52AE1C86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 Geométrica</w:t>
            </w:r>
          </w:p>
        </w:tc>
        <w:tc>
          <w:tcPr>
            <w:tcW w:w="4110" w:type="dxa"/>
            <w:vAlign w:val="center"/>
          </w:tcPr>
          <w:p w14:paraId="7C891A97" w14:textId="77777777" w:rsidR="008F12E3" w:rsidRPr="00042906" w:rsidRDefault="008F12E3" w:rsidP="00213884">
            <w:pPr>
              <w:spacing w:after="0" w:line="240" w:lineRule="auto"/>
              <w:ind w:left="-250" w:firstLine="250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 xml:space="preserve">M.G.= </m:t>
                </m:r>
                <m:rad>
                  <m:rad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g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….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3828" w:type="dxa"/>
            <w:vAlign w:val="center"/>
          </w:tcPr>
          <w:p w14:paraId="32CE11D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Se utiliza cuando los valores cambian con el tiempo.</w:t>
            </w:r>
          </w:p>
          <w:p w14:paraId="268FFA4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mediciones</w:t>
            </w:r>
          </w:p>
        </w:tc>
      </w:tr>
      <w:tr w:rsidR="008F12E3" w:rsidRPr="00042906" w14:paraId="719D9EFB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5F5B98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Mediana (ubicación)</w:t>
            </w:r>
          </w:p>
        </w:tc>
        <w:tc>
          <w:tcPr>
            <w:tcW w:w="4110" w:type="dxa"/>
          </w:tcPr>
          <w:p w14:paraId="6EDBC151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n+1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14:paraId="7F9426B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número de elementos de la muestra</w:t>
            </w:r>
          </w:p>
        </w:tc>
      </w:tr>
      <w:tr w:rsidR="008F12E3" w:rsidRPr="00042906" w14:paraId="7FFE518A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E8EA0F" w14:textId="77777777" w:rsidR="008F12E3" w:rsidRPr="005A6A5B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Mediana de la muestra para datos agrupados </w:t>
            </w:r>
          </w:p>
          <w:p w14:paraId="70682A6C" w14:textId="77777777" w:rsidR="008F12E3" w:rsidRPr="005A6A5B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(en intervalos por clases)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7305D6E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Me=</m:t>
                </m:r>
                <m:acc>
                  <m:accPr>
                    <m:chr m:val="̃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me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57D29E4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L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me</w:t>
            </w:r>
            <w:proofErr w:type="spellEnd"/>
            <w:r w:rsidRPr="005A6A5B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límite inferior del intervalo de clase de la mediana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14:paraId="6DBCDD00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a</w:t>
            </w: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ancho de intervalo de clase</w:t>
            </w:r>
          </w:p>
          <w:p w14:paraId="01774CA7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acumulada inmediatamente anterior a la clase de la mediana</w:t>
            </w:r>
          </w:p>
          <w:p w14:paraId="58C45BB0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5A6A5B">
              <w:rPr>
                <w:rFonts w:asciiTheme="majorHAnsi" w:eastAsia="Calibri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frecuencia de la clase de la mediana</w:t>
            </w:r>
          </w:p>
        </w:tc>
      </w:tr>
      <w:tr w:rsidR="008F12E3" w:rsidRPr="00042906" w14:paraId="5F60D128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A8B284C" w14:textId="77777777" w:rsidR="008F12E3" w:rsidRPr="005A6A5B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Moda </w:t>
            </w:r>
          </w:p>
          <w:p w14:paraId="2795CD8B" w14:textId="77777777" w:rsidR="008F12E3" w:rsidRPr="005A6A5B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(en intervalos de clase)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8FB107C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Mo=</m:t>
                </m:r>
                <m:acc>
                  <m:acc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+a×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+(Fi-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2B4275D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L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A6A5B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límite inferior de la clase modal</w:t>
            </w:r>
          </w:p>
          <w:p w14:paraId="2456C4BF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>F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– F</w:t>
            </w:r>
            <w:r w:rsidRPr="005A6A5B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5A6A5B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frecuencia de la clase modal menos la frecuencia de la clase que se encuentra inmediatamente menor que ella.</w:t>
            </w:r>
          </w:p>
          <w:p w14:paraId="2FC6A270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5A6A5B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5A6A5B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–F</w:t>
            </w:r>
            <w:r w:rsidRPr="005A6A5B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i+1</w:t>
            </w:r>
            <w:r w:rsidRPr="005A6A5B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frecuencia de la clase modal menos la frecuencia de la clase que se encuentra inmediatamente mayor que ella</w:t>
            </w:r>
          </w:p>
          <w:p w14:paraId="72526E5D" w14:textId="77777777" w:rsidR="008F12E3" w:rsidRPr="005A6A5B" w:rsidRDefault="008F12E3" w:rsidP="00213884">
            <w:pPr>
              <w:spacing w:after="0" w:line="240" w:lineRule="auto"/>
              <w:rPr>
                <w:rFonts w:asciiTheme="majorHAnsi" w:eastAsiaTheme="minorEastAsia" w:hAnsiTheme="majorHAnsi" w:cstheme="minorHAnsi"/>
                <w:noProof/>
                <w:color w:val="000000" w:themeColor="text1"/>
                <w:sz w:val="20"/>
                <w:szCs w:val="20"/>
              </w:rPr>
            </w:pPr>
            <w:r w:rsidRPr="005A6A5B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5A6A5B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ancho del intervalo de la clase modal</w:t>
            </w:r>
          </w:p>
        </w:tc>
      </w:tr>
      <w:tr w:rsidR="008F12E3" w:rsidRPr="00042906" w14:paraId="41BB4CDF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2044D09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Rango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B03CBC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 xml:space="preserve">Rango = (valor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máximo</w:t>
            </w: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 xml:space="preserve">) – (valor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mínimo</w:t>
            </w:r>
            <w:r w:rsidRPr="00042906"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2BADB31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  <w:lang w:val="es-UY"/>
              </w:rPr>
            </w:pP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Es la diferencia entre el valor máximo y el valor mínimo de los observados.</w:t>
            </w:r>
          </w:p>
        </w:tc>
      </w:tr>
      <w:tr w:rsidR="008F12E3" w:rsidRPr="00042906" w14:paraId="74FBE2E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980DB9B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Varianza de la población</w:t>
            </w:r>
          </w:p>
          <w:p w14:paraId="6F75A5E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(parámetro)</w:t>
            </w:r>
          </w:p>
        </w:tc>
        <w:bookmarkStart w:id="0" w:name="_Hlk112669776"/>
        <w:tc>
          <w:tcPr>
            <w:tcW w:w="4110" w:type="dxa"/>
            <w:shd w:val="clear" w:color="auto" w:fill="FFFFFF" w:themeFill="background1"/>
            <w:vAlign w:val="center"/>
          </w:tcPr>
          <w:p w14:paraId="0F6B15B2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  <w:bookmarkEnd w:id="0"/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A2C01BE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elemento u observación</w:t>
            </w:r>
          </w:p>
          <w:p w14:paraId="254B92B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μ</m:t>
              </m:r>
            </m:oMath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media de la población</w:t>
            </w:r>
          </w:p>
          <w:p w14:paraId="5F485543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elementos de la población</w:t>
            </w:r>
          </w:p>
        </w:tc>
      </w:tr>
      <w:tr w:rsidR="008F12E3" w:rsidRPr="00042906" w14:paraId="4FC6D0ED" w14:textId="77777777" w:rsidTr="00971BE3">
        <w:tblPrEx>
          <w:shd w:val="clear" w:color="auto" w:fill="FFFFFF" w:themeFill="background1"/>
        </w:tblPrEx>
        <w:trPr>
          <w:trHeight w:val="601"/>
        </w:trPr>
        <w:tc>
          <w:tcPr>
            <w:tcW w:w="2440" w:type="dxa"/>
            <w:shd w:val="clear" w:color="auto" w:fill="FFFFFF" w:themeFill="background1"/>
            <w:vAlign w:val="center"/>
          </w:tcPr>
          <w:p w14:paraId="7E3D7409" w14:textId="77777777" w:rsidR="008F12E3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lastRenderedPageBreak/>
              <w:t xml:space="preserve">Varianza de la </w:t>
            </w: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muestra</w:t>
            </w:r>
          </w:p>
          <w:p w14:paraId="16998AA9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(estadístico)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B6945F2" w14:textId="77777777" w:rsidR="008F12E3" w:rsidRPr="00042906" w:rsidRDefault="00000000" w:rsidP="00213884">
            <w:pPr>
              <w:spacing w:after="0" w:line="240" w:lineRule="auto"/>
              <w:rPr>
                <w:rFonts w:ascii="Cambria" w:eastAsia="Calibri" w:hAnsi="Cambria" w:cs="Calibri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s-UY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n-1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UY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0AD1282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elemento u observación</w:t>
            </w:r>
          </w:p>
          <w:p w14:paraId="7AABC48A" w14:textId="77777777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 w:cstheme="minorHAnsi"/>
                      <w:b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oMath>
            <w:r w:rsidR="008F12E3"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media de la </w:t>
            </w:r>
            <w:r w:rsidR="008F12E3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>muestra</w:t>
            </w:r>
          </w:p>
          <w:p w14:paraId="2A9FCEA1" w14:textId="77777777" w:rsidR="008F12E3" w:rsidRPr="00042906" w:rsidRDefault="008F12E3" w:rsidP="00213884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 w:themeColor="text1"/>
                <w:sz w:val="20"/>
                <w:szCs w:val="20"/>
              </w:rPr>
            </w:pPr>
            <w:r w:rsidRPr="00694EF7">
              <w:rPr>
                <w:rFonts w:asciiTheme="majorHAnsi" w:eastAsia="Calibri" w:hAnsiTheme="majorHAnsi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  <w:t xml:space="preserve"> cantidad de elementos de la población</w:t>
            </w:r>
          </w:p>
        </w:tc>
      </w:tr>
      <w:tr w:rsidR="008F12E3" w:rsidRPr="00042906" w14:paraId="08FCEA3B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1949F72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Desviación estándar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59B71F4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776F6EDC" w14:textId="77777777" w:rsidR="008F12E3" w:rsidRPr="005D6735" w:rsidRDefault="008F12E3" w:rsidP="00213884">
            <w:pPr>
              <w:tabs>
                <w:tab w:val="left" w:pos="761"/>
              </w:tabs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5D6735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En todos los casos</w:t>
            </w:r>
          </w:p>
        </w:tc>
      </w:tr>
      <w:tr w:rsidR="008F12E3" w:rsidRPr="00042906" w14:paraId="10113630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69B29A18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Varianza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3CE818F" w14:textId="78B96F9E" w:rsidR="008F12E3" w:rsidRPr="005D6735" w:rsidRDefault="00000000" w:rsidP="00213884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μ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oMath>
            <w:r w:rsidR="008F12E3"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  <w:t xml:space="preserve"> (población)</w:t>
            </w:r>
          </w:p>
          <w:bookmarkStart w:id="1" w:name="_Hlk112742938"/>
          <w:p w14:paraId="244D0193" w14:textId="77777777" w:rsidR="008F12E3" w:rsidRPr="00042906" w:rsidRDefault="00000000" w:rsidP="00213884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s-UY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0"/>
                      <w:szCs w:val="20"/>
                    </w:rPr>
                    <m:t>n-1</m:t>
                  </m:r>
                </m:den>
              </m:f>
            </m:oMath>
            <w:bookmarkEnd w:id="1"/>
            <w:r w:rsidR="008F12E3"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  <w:t xml:space="preserve"> (muestra)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94227D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x</w:t>
            </w: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marca de clase</w:t>
            </w:r>
          </w:p>
          <w:p w14:paraId="39FF28DD" w14:textId="457A6E32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5C1605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frecuencia </w:t>
            </w:r>
            <w:r w:rsidR="006E3348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absoluta del intervalo</w:t>
            </w:r>
          </w:p>
          <w:p w14:paraId="0CCF844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5C1605">
              <w:rPr>
                <w:rFonts w:asciiTheme="majorHAnsi" w:eastAsia="Times New Roman" w:hAnsiTheme="majorHAnsi" w:cstheme="minorHAnsi"/>
                <w:bCs/>
                <w:i/>
                <w:iCs/>
                <w:color w:val="000000" w:themeColor="text1"/>
                <w:sz w:val="20"/>
                <w:szCs w:val="20"/>
              </w:rPr>
              <w:t>µ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media de la población</w:t>
            </w:r>
          </w:p>
        </w:tc>
      </w:tr>
      <w:tr w:rsidR="008F12E3" w:rsidRPr="00042906" w14:paraId="748C54C2" w14:textId="77777777" w:rsidTr="00971BE3">
        <w:tc>
          <w:tcPr>
            <w:tcW w:w="2440" w:type="dxa"/>
            <w:shd w:val="clear" w:color="auto" w:fill="FFFFFF" w:themeFill="background1"/>
            <w:vAlign w:val="center"/>
          </w:tcPr>
          <w:p w14:paraId="7F5885FB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Cuartiles (ubicación)</w:t>
            </w:r>
          </w:p>
        </w:tc>
        <w:tc>
          <w:tcPr>
            <w:tcW w:w="4110" w:type="dxa"/>
          </w:tcPr>
          <w:p w14:paraId="0218F762" w14:textId="1A7A7ACF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=0,25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n+1</m:t>
                    </m:r>
                  </m:e>
                </m:d>
              </m:oMath>
            </m:oMathPara>
          </w:p>
          <w:p w14:paraId="12D70E32" w14:textId="6A42D76A" w:rsidR="0010018F" w:rsidRPr="00042906" w:rsidRDefault="00000000" w:rsidP="003E0506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=0,75(n+1)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5F48525B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i/>
                <w:color w:val="000000" w:themeColor="text1"/>
                <w:sz w:val="20"/>
                <w:szCs w:val="20"/>
              </w:rPr>
              <w:t>n</w:t>
            </w:r>
            <w:r w:rsidRPr="00042906">
              <w:rPr>
                <w:rFonts w:asciiTheme="majorHAnsi" w:eastAsia="Calibri" w:hAnsiTheme="majorHAnsi" w:cstheme="minorHAnsi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Calibri" w:hAnsiTheme="majorHAnsi" w:cstheme="minorHAnsi"/>
                <w:bCs/>
                <w:i/>
                <w:color w:val="000000" w:themeColor="text1"/>
                <w:sz w:val="20"/>
                <w:szCs w:val="20"/>
              </w:rPr>
              <w:t>número de elementos de la muestra</w:t>
            </w:r>
          </w:p>
        </w:tc>
      </w:tr>
      <w:tr w:rsidR="008F12E3" w:rsidRPr="00042906" w14:paraId="14CA79A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9C7F4D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Cuartiles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CCC8B4E" w14:textId="377A4A7A" w:rsidR="008F12E3" w:rsidRPr="00042906" w:rsidRDefault="00000000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E092379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Q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k</w:t>
            </w:r>
            <w:proofErr w:type="spellEnd"/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Cuartil que se quiere hallar (1, 2, 3)</w:t>
            </w:r>
          </w:p>
          <w:p w14:paraId="4FA2C7C6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Límite inferior de la clase donde se encuentra el cuartil.</w:t>
            </w:r>
          </w:p>
          <w:p w14:paraId="32D6E992" w14:textId="21201590" w:rsidR="008F12E3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75017D">
              <w:rPr>
                <w:rFonts w:asciiTheme="majorHAnsi" w:eastAsia="Times New Roman" w:hAnsiTheme="majorHAnsi" w:cstheme="minorHAnsi"/>
                <w:b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8F12E3"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F12E3"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amplitud del intervalo</w:t>
            </w:r>
          </w:p>
          <w:p w14:paraId="79CB5C6E" w14:textId="66E7ED5B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k</w:t>
            </w:r>
            <w:r w:rsidRPr="00042906"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posición del cuartil</w:t>
            </w:r>
          </w:p>
          <w:p w14:paraId="09A5D25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i-1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acumulada hasta el intervalo anterior</w:t>
            </w:r>
          </w:p>
          <w:p w14:paraId="3983EA90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f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 xml:space="preserve"> frecuencia del intervalo</w:t>
            </w:r>
          </w:p>
        </w:tc>
      </w:tr>
      <w:tr w:rsidR="008F12E3" w:rsidRPr="00042906" w14:paraId="16E46767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36AA696B" w14:textId="4EB635D6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Rango </w:t>
            </w:r>
            <w:r w:rsidR="005A6A5B"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intercuartílico</w:t>
            </w: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 xml:space="preserve"> (RI)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29AEE9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 xml:space="preserve">RI= 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CC0AE1D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F12E3" w:rsidRPr="00042906" w14:paraId="6F85B018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35F9E3A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Barreras INTERIORES diagrama de caja y bigotes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645FFAC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inferior=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-1,5RI</m:t>
                </m:r>
              </m:oMath>
            </m:oMathPara>
          </w:p>
          <w:p w14:paraId="166E32D8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superior=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+1,5RI</m:t>
                </m:r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CA1354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Los datos que se encuentren fuera de las barreras interiores (a más de 1,5 veces el RI) se les llama datos atípicos simples y se representan con el símbolo “</w:t>
            </w:r>
            <w:r w:rsidRPr="007E7788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  <w:vertAlign w:val="superscript"/>
              </w:rPr>
              <w:t>O</w:t>
            </w: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”</w:t>
            </w:r>
          </w:p>
        </w:tc>
      </w:tr>
      <w:tr w:rsidR="008F12E3" w:rsidRPr="00042906" w14:paraId="1912FEE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76C1779C" w14:textId="77777777" w:rsidR="008F12E3" w:rsidRPr="00042906" w:rsidRDefault="008F12E3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Barreras EXTERIORES diagrama de caja y bigotes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7169547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 xml:space="preserve">inferior=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-3RI</m:t>
                </m:r>
              </m:oMath>
            </m:oMathPara>
          </w:p>
          <w:p w14:paraId="3869BD8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 xml:space="preserve">superior= 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color w:val="000000" w:themeColor="text1"/>
                    <w:sz w:val="20"/>
                    <w:szCs w:val="20"/>
                  </w:rPr>
                  <m:t>+3RI</m:t>
                </m:r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4B97C951" w14:textId="77777777" w:rsidR="008F12E3" w:rsidRPr="00042906" w:rsidRDefault="008F12E3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042906"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Los datos que se encuentren más allá de las barreras exteriores (a más de 3 veces el RI) se les llama datos atípicos extremos y se representan con el símbolo "*”</w:t>
            </w:r>
          </w:p>
        </w:tc>
      </w:tr>
      <w:tr w:rsidR="0075017D" w:rsidRPr="00042906" w14:paraId="7D8BB027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74E5F31E" w14:textId="6D25ED33" w:rsidR="0075017D" w:rsidRPr="00042906" w:rsidRDefault="0075017D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Quintiles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4ACC14E" w14:textId="0DDD340B" w:rsidR="0075017D" w:rsidRPr="0090399A" w:rsidRDefault="00000000" w:rsidP="007E6D74">
            <w:pPr>
              <w:spacing w:after="0" w:line="240" w:lineRule="auto"/>
              <w:rPr>
                <w:rFonts w:asciiTheme="majorHAnsi" w:eastAsia="Calibri" w:hAnsiTheme="majorHAnsi" w:cstheme="minorHAns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6280AD78" w14:textId="77777777" w:rsidR="0075017D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75017D" w:rsidRPr="00042906" w14:paraId="4D29610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46A90391" w14:textId="480D5EE9" w:rsidR="0075017D" w:rsidRPr="00042906" w:rsidRDefault="0075017D" w:rsidP="00213884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Quintiles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CFAB2B5" w14:textId="62CA9396" w:rsidR="0075017D" w:rsidRDefault="00000000" w:rsidP="00213884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8A6AC36" w14:textId="77777777" w:rsidR="0075017D" w:rsidRPr="00042906" w:rsidRDefault="0075017D" w:rsidP="00213884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490BC22C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F05171D" w14:textId="71E9F00D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Deciles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1549397" w14:textId="63A11A39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04AF02D1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7309AB43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23966BF8" w14:textId="42E6C6DB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Deciles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CB8CE8D" w14:textId="6C767D73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8D8DFAC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3A6533F5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06623794" w14:textId="0A714639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Percentiles (ubicación)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0FAD102" w14:textId="587A8058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3130DB98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6C7167" w:rsidRPr="00042906" w14:paraId="37CB4619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0713563" w14:textId="5B6F7216" w:rsidR="006C7167" w:rsidRPr="00042906" w:rsidRDefault="006C7167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Percentiles para datos agrupados en intervalos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219E8F0" w14:textId="7E4F069A" w:rsidR="006C7167" w:rsidRDefault="00000000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=Li+a ×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k.n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Calibri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570A0E16" w14:textId="77777777" w:rsidR="006C7167" w:rsidRPr="00042906" w:rsidRDefault="006C7167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86393" w:rsidRPr="00042906" w14:paraId="189760DF" w14:textId="77777777" w:rsidTr="00971BE3">
        <w:tblPrEx>
          <w:shd w:val="clear" w:color="auto" w:fill="FFFFFF" w:themeFill="background1"/>
        </w:tblPrEx>
        <w:tc>
          <w:tcPr>
            <w:tcW w:w="2440" w:type="dxa"/>
            <w:shd w:val="clear" w:color="auto" w:fill="FFFFFF" w:themeFill="background1"/>
            <w:vAlign w:val="center"/>
          </w:tcPr>
          <w:p w14:paraId="50F600C1" w14:textId="3087174C" w:rsidR="00B86393" w:rsidRDefault="00B86393" w:rsidP="006C7167">
            <w:pPr>
              <w:spacing w:after="0" w:line="240" w:lineRule="auto"/>
              <w:jc w:val="center"/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theme="minorHAnsi"/>
                <w:bCs/>
                <w:color w:val="000000" w:themeColor="text1"/>
                <w:sz w:val="20"/>
                <w:szCs w:val="20"/>
              </w:rPr>
              <w:t>Coeficiente de Variación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887DC49" w14:textId="7B18BDA2" w:rsidR="00B86393" w:rsidRDefault="00B86393" w:rsidP="006C7167">
            <w:pPr>
              <w:spacing w:after="0" w:line="240" w:lineRule="auto"/>
              <w:rPr>
                <w:rFonts w:ascii="Calibri Light" w:eastAsia="Calibri" w:hAnsi="Calibri Light" w:cs="Calibr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 w:themeColor="text1"/>
                    <w:sz w:val="20"/>
                    <w:szCs w:val="20"/>
                  </w:rPr>
                  <m:t>CV=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000000" w:themeColor="text1"/>
                        <w:sz w:val="20"/>
                        <w:szCs w:val="20"/>
                      </w:rPr>
                      <m:t>σ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Calibri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5F1A8CC6" w14:textId="3E0B1EE3" w:rsidR="00B86393" w:rsidRPr="00042906" w:rsidRDefault="00BB4190" w:rsidP="006C7167">
            <w:pPr>
              <w:spacing w:after="0" w:line="240" w:lineRule="auto"/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bCs/>
                <w:color w:val="000000" w:themeColor="text1"/>
                <w:sz w:val="20"/>
                <w:szCs w:val="20"/>
              </w:rPr>
              <w:t>Se puede multiplicar por 100 y expresar en porcentaje.</w:t>
            </w:r>
          </w:p>
        </w:tc>
      </w:tr>
    </w:tbl>
    <w:p w14:paraId="08C96233" w14:textId="77777777" w:rsidR="008F12E3" w:rsidRPr="00104A95" w:rsidRDefault="008F12E3" w:rsidP="008F12E3">
      <w:pPr>
        <w:rPr>
          <w:sz w:val="20"/>
          <w:szCs w:val="20"/>
        </w:rPr>
      </w:pPr>
      <w:r>
        <w:rPr>
          <w:rFonts w:eastAsiaTheme="minorEastAsia"/>
          <w:noProof/>
          <w:sz w:val="36"/>
        </w:rPr>
        <w:t xml:space="preserve">      </w:t>
      </w:r>
      <m:oMath>
        <m:r>
          <m:rPr>
            <m:sty m:val="p"/>
          </m:rPr>
          <w:rPr>
            <w:rFonts w:ascii="Cambria Math" w:eastAsia="Calibri" w:hAnsi="Cambria Math" w:cs="Arial"/>
            <w:szCs w:val="20"/>
          </w:rPr>
          <w:br/>
        </m:r>
      </m:oMath>
    </w:p>
    <w:p w14:paraId="30C8EB30" w14:textId="77777777" w:rsidR="008F12E3" w:rsidRPr="00104A95" w:rsidRDefault="008F12E3" w:rsidP="008F12E3">
      <w:pPr>
        <w:rPr>
          <w:sz w:val="20"/>
          <w:szCs w:val="20"/>
        </w:rPr>
      </w:pPr>
    </w:p>
    <w:p w14:paraId="4FC8C5A4" w14:textId="77777777" w:rsidR="0089006D" w:rsidRDefault="0089006D"/>
    <w:sectPr w:rsidR="0089006D" w:rsidSect="0025696E">
      <w:headerReference w:type="default" r:id="rId6"/>
      <w:pgSz w:w="11906" w:h="16838"/>
      <w:pgMar w:top="127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C531" w14:textId="77777777" w:rsidR="00277CE6" w:rsidRDefault="00277CE6">
      <w:pPr>
        <w:spacing w:after="0" w:line="240" w:lineRule="auto"/>
      </w:pPr>
      <w:r>
        <w:separator/>
      </w:r>
    </w:p>
  </w:endnote>
  <w:endnote w:type="continuationSeparator" w:id="0">
    <w:p w14:paraId="18BBC131" w14:textId="77777777" w:rsidR="00277CE6" w:rsidRDefault="0027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8530" w14:textId="77777777" w:rsidR="00277CE6" w:rsidRDefault="00277CE6">
      <w:pPr>
        <w:spacing w:after="0" w:line="240" w:lineRule="auto"/>
      </w:pPr>
      <w:r>
        <w:separator/>
      </w:r>
    </w:p>
  </w:footnote>
  <w:footnote w:type="continuationSeparator" w:id="0">
    <w:p w14:paraId="7F4CB602" w14:textId="77777777" w:rsidR="00277CE6" w:rsidRDefault="0027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3DB1" w14:textId="37C07F64" w:rsidR="005A6A5B" w:rsidRPr="005A6A5B" w:rsidRDefault="005A6A5B" w:rsidP="00B74280">
    <w:pPr>
      <w:pStyle w:val="Encabezado"/>
      <w:jc w:val="center"/>
      <w:rPr>
        <w:b/>
        <w:bCs/>
        <w:sz w:val="24"/>
      </w:rPr>
    </w:pPr>
    <w:r w:rsidRPr="005A6A5B">
      <w:rPr>
        <w:b/>
        <w:bCs/>
        <w:sz w:val="24"/>
      </w:rPr>
      <w:t xml:space="preserve">Fórmulas </w:t>
    </w:r>
    <w:r w:rsidR="00000000" w:rsidRPr="005A6A5B">
      <w:rPr>
        <w:b/>
        <w:bCs/>
        <w:sz w:val="24"/>
      </w:rPr>
      <w:t>Estadística</w:t>
    </w:r>
    <w:r w:rsidRPr="005A6A5B">
      <w:rPr>
        <w:b/>
        <w:bCs/>
        <w:sz w:val="24"/>
      </w:rPr>
      <w:t>s</w:t>
    </w:r>
  </w:p>
  <w:p w14:paraId="26F34DCE" w14:textId="150778A9" w:rsidR="00137419" w:rsidRPr="005A6A5B" w:rsidRDefault="00000000" w:rsidP="00B74280">
    <w:pPr>
      <w:pStyle w:val="Encabezado"/>
      <w:jc w:val="center"/>
      <w:rPr>
        <w:sz w:val="18"/>
        <w:szCs w:val="18"/>
      </w:rPr>
    </w:pPr>
    <w:r w:rsidRPr="005A6A5B">
      <w:rPr>
        <w:sz w:val="18"/>
        <w:szCs w:val="18"/>
      </w:rPr>
      <w:t xml:space="preserve">Profesor Marcelo </w:t>
    </w:r>
    <w:proofErr w:type="spellStart"/>
    <w:r w:rsidRPr="005A6A5B">
      <w:rPr>
        <w:sz w:val="18"/>
        <w:szCs w:val="18"/>
      </w:rPr>
      <w:t>Monferrato</w:t>
    </w:r>
    <w:proofErr w:type="spellEnd"/>
  </w:p>
  <w:p w14:paraId="5EFCA89B" w14:textId="77777777" w:rsidR="00137419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E3"/>
    <w:rsid w:val="000465F1"/>
    <w:rsid w:val="000C3291"/>
    <w:rsid w:val="0010018F"/>
    <w:rsid w:val="00167B05"/>
    <w:rsid w:val="00213884"/>
    <w:rsid w:val="00277CE6"/>
    <w:rsid w:val="003E0506"/>
    <w:rsid w:val="004012D9"/>
    <w:rsid w:val="005A6A5B"/>
    <w:rsid w:val="006C7167"/>
    <w:rsid w:val="006E3348"/>
    <w:rsid w:val="0075017D"/>
    <w:rsid w:val="007E6D74"/>
    <w:rsid w:val="0089006D"/>
    <w:rsid w:val="008F12E3"/>
    <w:rsid w:val="0090399A"/>
    <w:rsid w:val="009063E1"/>
    <w:rsid w:val="00AE460B"/>
    <w:rsid w:val="00B51BFB"/>
    <w:rsid w:val="00B86393"/>
    <w:rsid w:val="00BB4190"/>
    <w:rsid w:val="00BC16CC"/>
    <w:rsid w:val="00BF5B77"/>
    <w:rsid w:val="00F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098B7"/>
  <w15:chartTrackingRefBased/>
  <w15:docId w15:val="{2ECC969F-5FD2-46F6-953C-CA01232D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7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12E3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1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2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A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A5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Monferrato, Marcelo</dc:creator>
  <cp:keywords/>
  <dc:description/>
  <cp:lastModifiedBy>Tordoya, Gerardo</cp:lastModifiedBy>
  <cp:revision>11</cp:revision>
  <dcterms:created xsi:type="dcterms:W3CDTF">2022-08-30T13:14:00Z</dcterms:created>
  <dcterms:modified xsi:type="dcterms:W3CDTF">2022-11-10T11:44:00Z</dcterms:modified>
</cp:coreProperties>
</file>