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81" w:rsidRDefault="00663E81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CU26</w:t>
      </w:r>
    </w:p>
    <w:p w:rsidR="00BA4E4E" w:rsidRDefault="00663E81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Analizar Información</w:t>
      </w:r>
    </w:p>
    <w:p w:rsidR="00663E81" w:rsidRDefault="00BA4E4E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</w:t>
      </w:r>
      <w:r w:rsidR="00663E81">
        <w:rPr>
          <w:b/>
          <w:kern w:val="2"/>
        </w:rPr>
        <w:t>i</w:t>
      </w:r>
      <w:r>
        <w:rPr>
          <w:b/>
          <w:kern w:val="2"/>
        </w:rPr>
        <w:t xml:space="preserve">ón </w:t>
      </w:r>
      <w:r w:rsidR="00663E81">
        <w:rPr>
          <w:b/>
          <w:kern w:val="2"/>
        </w:rPr>
        <w:t>A</w:t>
      </w:r>
      <w:r>
        <w:rPr>
          <w:b/>
          <w:kern w:val="2"/>
        </w:rPr>
        <w:t xml:space="preserve">ctual </w:t>
      </w:r>
      <w:r w:rsidR="00663E81">
        <w:rPr>
          <w:b/>
          <w:kern w:val="2"/>
        </w:rPr>
        <w:t>1</w:t>
      </w:r>
    </w:p>
    <w:p w:rsidR="00BA4E4E" w:rsidRDefault="00663E81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2023-03-01</w:t>
      </w:r>
    </w:p>
    <w:p w:rsidR="00BA4E4E" w:rsidRDefault="00BA4E4E" w:rsidP="00B82E82"/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2"/>
        <w:gridCol w:w="1724"/>
        <w:gridCol w:w="2027"/>
        <w:gridCol w:w="1805"/>
        <w:gridCol w:w="1452"/>
      </w:tblGrid>
      <w:tr w:rsidR="00BA4E4E" w:rsidTr="00663E81">
        <w:trPr>
          <w:trHeight w:val="191"/>
        </w:trPr>
        <w:tc>
          <w:tcPr>
            <w:tcW w:w="1712" w:type="dxa"/>
          </w:tcPr>
          <w:p w:rsidR="00BA4E4E" w:rsidRDefault="00BA4E4E" w:rsidP="002E1478">
            <w:pPr>
              <w:spacing w:after="200"/>
              <w:jc w:val="center"/>
            </w:pPr>
            <w:proofErr w:type="spellStart"/>
            <w:r>
              <w:t>REVISION</w:t>
            </w:r>
            <w:proofErr w:type="spellEnd"/>
          </w:p>
        </w:tc>
        <w:tc>
          <w:tcPr>
            <w:tcW w:w="1724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27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80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2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663E81" w:rsidTr="00663E81">
        <w:tc>
          <w:tcPr>
            <w:tcW w:w="1712" w:type="dxa"/>
          </w:tcPr>
          <w:p w:rsidR="00663E81" w:rsidRDefault="00663E81" w:rsidP="00B01B22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724" w:type="dxa"/>
          </w:tcPr>
          <w:p w:rsidR="00663E81" w:rsidRDefault="00663E81" w:rsidP="00B01B22">
            <w:pPr>
              <w:spacing w:after="200" w:line="276" w:lineRule="auto"/>
              <w:jc w:val="center"/>
            </w:pPr>
            <w:r>
              <w:t>2023-03-01</w:t>
            </w:r>
          </w:p>
        </w:tc>
        <w:tc>
          <w:tcPr>
            <w:tcW w:w="2027" w:type="dxa"/>
          </w:tcPr>
          <w:p w:rsidR="00663E81" w:rsidRDefault="00663E81" w:rsidP="00B01B22">
            <w:pPr>
              <w:spacing w:after="200" w:line="276" w:lineRule="auto"/>
              <w:jc w:val="center"/>
            </w:pPr>
            <w:r w:rsidRPr="00871FCD">
              <w:t>Gerardo Tordoya</w:t>
            </w:r>
          </w:p>
        </w:tc>
        <w:tc>
          <w:tcPr>
            <w:tcW w:w="1805" w:type="dxa"/>
          </w:tcPr>
          <w:p w:rsidR="00663E81" w:rsidRDefault="00663E81" w:rsidP="002E1478">
            <w:pPr>
              <w:spacing w:after="200" w:line="276" w:lineRule="auto"/>
              <w:jc w:val="center"/>
            </w:pPr>
          </w:p>
        </w:tc>
        <w:tc>
          <w:tcPr>
            <w:tcW w:w="1452" w:type="dxa"/>
          </w:tcPr>
          <w:p w:rsidR="00663E81" w:rsidRDefault="00663E81" w:rsidP="002E1478">
            <w:pPr>
              <w:spacing w:after="200" w:line="276" w:lineRule="auto"/>
            </w:pPr>
          </w:p>
        </w:tc>
      </w:tr>
    </w:tbl>
    <w:p w:rsidR="00BA4E4E" w:rsidRDefault="00BA4E4E" w:rsidP="00B82E82">
      <w:bookmarkStart w:id="0" w:name="_GoBack"/>
      <w:bookmarkEnd w:id="0"/>
    </w:p>
    <w:p w:rsidR="00955E45" w:rsidRDefault="00955E45" w:rsidP="00955E45">
      <w:pPr>
        <w:pStyle w:val="Prrafodelista"/>
        <w:spacing w:after="200" w:line="276" w:lineRule="auto"/>
        <w:ind w:left="142"/>
      </w:pPr>
    </w:p>
    <w:p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r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663E81" w:rsidP="002E1478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CU26 – Analizar Información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663E81" w:rsidP="002E1478">
            <w:pPr>
              <w:pBdr>
                <w:top w:val="single" w:sz="4" w:space="1" w:color="auto"/>
              </w:pBdr>
              <w:jc w:val="both"/>
            </w:pPr>
            <w:r>
              <w:t>En 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63E81" w:rsidRDefault="00750D8B" w:rsidP="002E1478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>DESCRIPCIÓN</w:t>
            </w:r>
            <w:r w:rsidR="001B2A25" w:rsidRPr="006F229A">
              <w:rPr>
                <w:b/>
              </w:rPr>
              <w:t xml:space="preserve">: </w:t>
            </w:r>
            <w:r w:rsidR="00663E81">
              <w:t>Esta funcionalidad permite al usuario hacer los cálculos con la técnica contable elegida sobre los datos de compras de insumos de oficina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  <w:r w:rsidR="00663E81">
              <w:t>Referente (contador) del área contable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</w:t>
            </w:r>
            <w:r w:rsidR="00663E81">
              <w:rPr>
                <w:b/>
              </w:rPr>
              <w:t>S</w:t>
            </w:r>
            <w:r w:rsidRPr="006F229A">
              <w:rPr>
                <w:b/>
              </w:rPr>
              <w:t>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E63FD" w:rsidRDefault="001B2A25" w:rsidP="00750D8B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 xml:space="preserve">PRECONDICIONES: </w:t>
            </w:r>
            <w:r w:rsidR="00750D8B">
              <w:t>Que</w:t>
            </w:r>
            <w:r w:rsidR="006E63FD">
              <w:t xml:space="preserve"> </w:t>
            </w:r>
            <w:r w:rsidR="00750D8B">
              <w:t xml:space="preserve">los </w:t>
            </w:r>
            <w:r w:rsidR="006E63FD">
              <w:t>datos</w:t>
            </w:r>
            <w:r w:rsidR="00750D8B">
              <w:t xml:space="preserve"> con los que se debe operar ya hayan sido seleccionados y visados por el operador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</w:t>
            </w:r>
            <w:r w:rsidR="00750D8B" w:rsidRPr="006F229A">
              <w:rPr>
                <w:b/>
              </w:rPr>
              <w:t>EXTENSIÓN</w:t>
            </w:r>
            <w:r w:rsidRPr="006F229A">
              <w:rPr>
                <w:b/>
              </w:rPr>
              <w:t xml:space="preserve">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750D8B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CONDICIÓN</w:t>
            </w:r>
            <w:r w:rsidR="001B2A25" w:rsidRPr="006F229A">
              <w:rPr>
                <w:b/>
              </w:rPr>
              <w:t>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1B2A25" w:rsidRDefault="007E03B1" w:rsidP="007E03B1">
            <w:pPr>
              <w:pStyle w:val="Prrafodelista"/>
              <w:numPr>
                <w:ilvl w:val="0"/>
                <w:numId w:val="2"/>
              </w:numPr>
            </w:pPr>
            <w:r>
              <w:t>El empleado envía los datos seleccionados en el CU25</w:t>
            </w:r>
          </w:p>
          <w:p w:rsidR="007E03B1" w:rsidRDefault="007E03B1" w:rsidP="007E03B1">
            <w:pPr>
              <w:pStyle w:val="Prrafodelista"/>
              <w:numPr>
                <w:ilvl w:val="0"/>
                <w:numId w:val="2"/>
              </w:numPr>
            </w:pPr>
            <w:r>
              <w:t>El sistema muestra la pantalla de cálculo</w:t>
            </w:r>
          </w:p>
          <w:p w:rsidR="007E03B1" w:rsidRDefault="007E03B1" w:rsidP="007E03B1">
            <w:pPr>
              <w:pStyle w:val="Prrafodelista"/>
              <w:numPr>
                <w:ilvl w:val="0"/>
                <w:numId w:val="2"/>
              </w:numPr>
            </w:pPr>
            <w:r>
              <w:t>El empleado procede a seleccionar el método de cálculo que usará para la proyección</w:t>
            </w:r>
          </w:p>
          <w:p w:rsidR="007E03B1" w:rsidRDefault="007E03B1" w:rsidP="007E03B1">
            <w:pPr>
              <w:pStyle w:val="Prrafodelista"/>
              <w:numPr>
                <w:ilvl w:val="0"/>
                <w:numId w:val="2"/>
              </w:numPr>
            </w:pPr>
            <w:r>
              <w:t>El sistema mostrará, en base a la elección del empleado, los parámetros que son necesarios para realizar el cálculo</w:t>
            </w:r>
            <w:r w:rsidR="000C1A42">
              <w:t>: cada método tiene sus propios parámetros (cambio, divisa, operatoria, coeficientes, tasas aplicables, retenciones sobre el rubro según normativa, etc.)</w:t>
            </w:r>
          </w:p>
          <w:p w:rsidR="007E03B1" w:rsidRDefault="000C1A42" w:rsidP="007E03B1">
            <w:pPr>
              <w:pStyle w:val="Prrafodelista"/>
              <w:numPr>
                <w:ilvl w:val="0"/>
                <w:numId w:val="2"/>
              </w:numPr>
            </w:pPr>
            <w:r>
              <w:t>El empleado (contador) irá rellenando los parámetros solicitados por el sistema según el método elegido, los cuales ingresará de información que hace a su profesión, tales como tipo de cambio, divisa a operar, impuestos aplicables, alícuotas vigentes, rubros o productos sobre los que obra retención, tasa de recupero que corresponde a la categoría de agente de retención, etc.</w:t>
            </w:r>
          </w:p>
          <w:p w:rsidR="000C1A42" w:rsidRDefault="000C1A42" w:rsidP="007E03B1">
            <w:pPr>
              <w:pStyle w:val="Prrafodelista"/>
              <w:numPr>
                <w:ilvl w:val="0"/>
                <w:numId w:val="2"/>
              </w:numPr>
            </w:pPr>
            <w:r>
              <w:t>El sistema queda en espera hasta que la parametrización se haya completado</w:t>
            </w:r>
          </w:p>
          <w:p w:rsidR="000C1A42" w:rsidRDefault="000C1A42" w:rsidP="007E03B1">
            <w:pPr>
              <w:pStyle w:val="Prrafodelista"/>
              <w:numPr>
                <w:ilvl w:val="0"/>
                <w:numId w:val="2"/>
              </w:numPr>
            </w:pPr>
            <w:r>
              <w:t>El empleado, una vez ingresados los parámetros pertinentes, solicitará al sistema que proceda al cálculo</w:t>
            </w:r>
          </w:p>
          <w:p w:rsidR="000C1A42" w:rsidRDefault="000C1A42" w:rsidP="007E03B1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controlará que los parámetros requeridos acorde al método de cálculo hayan sido ingresados en su totalidad y una vez verificado, procederá al cálculo </w:t>
            </w:r>
            <w:r>
              <w:lastRenderedPageBreak/>
              <w:t>que luego mostrará en un formulario con las cifras finales</w:t>
            </w:r>
          </w:p>
          <w:p w:rsidR="001B2A25" w:rsidRPr="006F229A" w:rsidRDefault="000C1A42" w:rsidP="007552CE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>
              <w:t>El empleado, habiendo dado el visto bueno en pantalla, solicitará al sistema que pase a la fase siguiente (CU27)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lastRenderedPageBreak/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Default="007552CE" w:rsidP="002E1478">
            <w:pPr>
              <w:pBdr>
                <w:top w:val="single" w:sz="4" w:space="1" w:color="auto"/>
              </w:pBdr>
              <w:jc w:val="both"/>
              <w:rPr>
                <w:kern w:val="2"/>
              </w:rPr>
            </w:pPr>
            <w:r>
              <w:rPr>
                <w:kern w:val="2"/>
              </w:rPr>
              <w:tab/>
              <w:t>3.1</w:t>
            </w:r>
            <w:r>
              <w:rPr>
                <w:kern w:val="2"/>
              </w:rPr>
              <w:tab/>
              <w:t>El empleado puede modificar la elección del método de cálculo, ante lo cual, el sistema volverá al punto 4 actualizando la pantalla</w:t>
            </w:r>
          </w:p>
          <w:p w:rsidR="007552CE" w:rsidRDefault="007552CE" w:rsidP="002E1478">
            <w:pPr>
              <w:pBdr>
                <w:top w:val="single" w:sz="4" w:space="1" w:color="auto"/>
              </w:pBdr>
              <w:jc w:val="both"/>
            </w:pPr>
            <w:r>
              <w:rPr>
                <w:kern w:val="2"/>
              </w:rPr>
              <w:tab/>
              <w:t>7.1</w:t>
            </w:r>
            <w:r>
              <w:rPr>
                <w:kern w:val="2"/>
              </w:rPr>
              <w:tab/>
              <w:t>El empleado puede cancelar la operación, ante lo cual, el sistema vuelve al punto 2</w:t>
            </w:r>
          </w:p>
          <w:p w:rsidR="007552CE" w:rsidRPr="006F229A" w:rsidRDefault="007552CE" w:rsidP="00C42784">
            <w:pPr>
              <w:pBdr>
                <w:top w:val="single" w:sz="4" w:space="1" w:color="auto"/>
              </w:pBdr>
              <w:jc w:val="both"/>
              <w:rPr>
                <w:lang w:val="es-AR"/>
              </w:rPr>
            </w:pPr>
            <w:r>
              <w:rPr>
                <w:kern w:val="2"/>
              </w:rPr>
              <w:tab/>
              <w:t>8.1</w:t>
            </w:r>
            <w:r>
              <w:rPr>
                <w:kern w:val="2"/>
              </w:rPr>
              <w:tab/>
              <w:t>El sistema no da por válidos o completos los parámetros ingresados, ante lo cual, avisa al empleado y vuelve al punto 6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1E31F4" w:rsidRDefault="00750D8B" w:rsidP="002E1478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>POS CONDICIONES</w:t>
            </w:r>
            <w:r w:rsidR="001B2A25" w:rsidRPr="006F229A">
              <w:rPr>
                <w:b/>
              </w:rPr>
              <w:t xml:space="preserve">: </w:t>
            </w:r>
            <w:r w:rsidR="001E31F4" w:rsidRPr="001E31F4">
              <w:t>La</w:t>
            </w:r>
            <w:r w:rsidR="001E31F4">
              <w:t xml:space="preserve"> información necesaria para la fase siguiente ya está disponible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C1B" w:rsidRDefault="00237C1B" w:rsidP="00BA4E4E">
      <w:r>
        <w:separator/>
      </w:r>
    </w:p>
  </w:endnote>
  <w:endnote w:type="continuationSeparator" w:id="0">
    <w:p w:rsidR="00237C1B" w:rsidRDefault="00237C1B" w:rsidP="00BA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BA4E4E">
          <w:pPr>
            <w:pStyle w:val="Piedepgina"/>
          </w:pPr>
          <w:r>
            <w:t>[ Nombre del caso de uso ]</w:t>
          </w:r>
        </w:p>
      </w:tc>
      <w:tc>
        <w:tcPr>
          <w:tcW w:w="5425" w:type="dxa"/>
        </w:tcPr>
        <w:p w:rsidR="00BA4E4E" w:rsidRDefault="002E1478" w:rsidP="002E1478">
          <w:pPr>
            <w:pStyle w:val="Piedepgina"/>
            <w:jc w:val="right"/>
          </w:pPr>
          <w:r>
            <w:t xml:space="preserve"> [ Autor ]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Piedepgina"/>
          </w:pPr>
          <w:r>
            <w:t>[ ID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  <w:r>
            <w:t>[ Fecha ]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Piedepgina"/>
          </w:pPr>
          <w:r>
            <w:t>[ Revisión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C1B" w:rsidRDefault="00237C1B" w:rsidP="00BA4E4E">
      <w:r>
        <w:separator/>
      </w:r>
    </w:p>
  </w:footnote>
  <w:footnote w:type="continuationSeparator" w:id="0">
    <w:p w:rsidR="00237C1B" w:rsidRDefault="00237C1B" w:rsidP="00BA4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4E" w:rsidRDefault="00237C1B" w:rsidP="00C73DC9">
    <w:pPr>
      <w:pStyle w:val="Encabezad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61A09"/>
    <w:multiLevelType w:val="hybridMultilevel"/>
    <w:tmpl w:val="1C3464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A25"/>
    <w:rsid w:val="000C1A42"/>
    <w:rsid w:val="00110702"/>
    <w:rsid w:val="001B2A25"/>
    <w:rsid w:val="001E31F4"/>
    <w:rsid w:val="00237C1B"/>
    <w:rsid w:val="002E1478"/>
    <w:rsid w:val="003241F0"/>
    <w:rsid w:val="003A0B87"/>
    <w:rsid w:val="003D3C0A"/>
    <w:rsid w:val="00412C5E"/>
    <w:rsid w:val="00663E81"/>
    <w:rsid w:val="006E63FD"/>
    <w:rsid w:val="00750D8B"/>
    <w:rsid w:val="007552CE"/>
    <w:rsid w:val="007E03B1"/>
    <w:rsid w:val="00861843"/>
    <w:rsid w:val="00955E45"/>
    <w:rsid w:val="009F0E5B"/>
    <w:rsid w:val="00B82E82"/>
    <w:rsid w:val="00BA4E4E"/>
    <w:rsid w:val="00BD1F4B"/>
    <w:rsid w:val="00BE797C"/>
    <w:rsid w:val="00C34F98"/>
    <w:rsid w:val="00C42784"/>
    <w:rsid w:val="00C70166"/>
    <w:rsid w:val="00C73DC9"/>
    <w:rsid w:val="00D4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Gerardo Tordoya</cp:lastModifiedBy>
  <cp:revision>17</cp:revision>
  <dcterms:created xsi:type="dcterms:W3CDTF">2011-06-07T17:31:00Z</dcterms:created>
  <dcterms:modified xsi:type="dcterms:W3CDTF">2023-03-02T05:02:00Z</dcterms:modified>
</cp:coreProperties>
</file>