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88B" w:rsidRDefault="0001488B"/>
    <w:p w:rsidR="0001488B" w:rsidRDefault="0001488B" w:rsidP="0001488B">
      <w:pPr>
        <w:pStyle w:val="Heading1"/>
      </w:pPr>
      <w:r>
        <w:t>Korisnički sl</w:t>
      </w:r>
      <w:bookmarkStart w:id="0" w:name="_GoBack"/>
      <w:bookmarkEnd w:id="0"/>
      <w:r>
        <w:t>učajevi</w:t>
      </w:r>
    </w:p>
    <w:p w:rsidR="0001488B" w:rsidRDefault="0001488B" w:rsidP="0001488B">
      <w:pPr>
        <w:pStyle w:val="Heading2"/>
      </w:pPr>
      <w:r>
        <w:t xml:space="preserve">UC2.1 </w:t>
      </w:r>
      <w:r w:rsidRPr="0001488B">
        <w:t>Isplata gotovine za klijenta banke</w:t>
      </w:r>
    </w:p>
    <w:tbl>
      <w:tblPr>
        <w:tblStyle w:val="GridTable2-Accent1"/>
        <w:tblW w:w="9078" w:type="dxa"/>
        <w:tblLook w:val="0420" w:firstRow="1" w:lastRow="0" w:firstColumn="0" w:lastColumn="0" w:noHBand="0" w:noVBand="1"/>
      </w:tblPr>
      <w:tblGrid>
        <w:gridCol w:w="2230"/>
        <w:gridCol w:w="6848"/>
      </w:tblGrid>
      <w:tr w:rsidR="0001488B" w:rsidRPr="0001488B" w:rsidTr="0001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Modul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Isplata gotovine (M2)</w:t>
            </w:r>
          </w:p>
        </w:tc>
      </w:tr>
      <w:tr w:rsidR="0001488B" w:rsidRPr="0001488B" w:rsidTr="0001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Sudionici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Klijent banke, Djelatnik odjela kontrole</w:t>
            </w:r>
          </w:p>
        </w:tc>
      </w:tr>
      <w:tr w:rsidR="0001488B" w:rsidRPr="0001488B" w:rsidTr="0001488B">
        <w:trPr>
          <w:trHeight w:val="7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Opis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Klijent banke podiže novac na bankomatu svoje banke.</w:t>
            </w:r>
          </w:p>
        </w:tc>
      </w:tr>
      <w:tr w:rsidR="0001488B" w:rsidRPr="0001488B" w:rsidTr="0001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Preduvjeti</w:t>
            </w:r>
          </w:p>
        </w:tc>
        <w:tc>
          <w:tcPr>
            <w:tcW w:w="6848" w:type="dxa"/>
            <w:hideMark/>
          </w:tcPr>
          <w:p w:rsidR="00000000" w:rsidRPr="0001488B" w:rsidRDefault="0001488B" w:rsidP="0001488B">
            <w:pPr>
              <w:numPr>
                <w:ilvl w:val="0"/>
                <w:numId w:val="1"/>
              </w:numPr>
              <w:spacing w:before="60" w:after="60"/>
            </w:pPr>
            <w:r w:rsidRPr="0001488B">
              <w:t>Klijent se uspješno prijavio na bankomat.</w:t>
            </w:r>
          </w:p>
          <w:p w:rsidR="00000000" w:rsidRPr="0001488B" w:rsidRDefault="0001488B" w:rsidP="0001488B">
            <w:pPr>
              <w:numPr>
                <w:ilvl w:val="0"/>
                <w:numId w:val="1"/>
              </w:numPr>
              <w:spacing w:before="60" w:after="60"/>
            </w:pPr>
            <w:r w:rsidRPr="0001488B">
              <w:t>Klijent ima zahtijevani iznos novca na tekućem računu.</w:t>
            </w:r>
          </w:p>
          <w:p w:rsidR="00000000" w:rsidRPr="0001488B" w:rsidRDefault="0001488B" w:rsidP="0001488B">
            <w:pPr>
              <w:numPr>
                <w:ilvl w:val="0"/>
                <w:numId w:val="1"/>
              </w:numPr>
              <w:spacing w:before="60" w:after="60"/>
            </w:pPr>
            <w:r w:rsidRPr="0001488B">
              <w:t>Bankomat ima barem zahtijevani iznos novca.</w:t>
            </w:r>
          </w:p>
        </w:tc>
      </w:tr>
      <w:tr w:rsidR="0001488B" w:rsidRPr="0001488B" w:rsidTr="0001488B">
        <w:trPr>
          <w:trHeight w:val="161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Rezultat</w:t>
            </w:r>
          </w:p>
        </w:tc>
        <w:tc>
          <w:tcPr>
            <w:tcW w:w="6848" w:type="dxa"/>
            <w:hideMark/>
          </w:tcPr>
          <w:p w:rsidR="00000000" w:rsidRPr="0001488B" w:rsidRDefault="0001488B" w:rsidP="0001488B">
            <w:pPr>
              <w:numPr>
                <w:ilvl w:val="0"/>
                <w:numId w:val="2"/>
              </w:numPr>
              <w:spacing w:before="60" w:after="60"/>
            </w:pPr>
            <w:r w:rsidRPr="0001488B">
              <w:t>Klijent je dobio zahtijevani iznos novca.</w:t>
            </w:r>
          </w:p>
          <w:p w:rsidR="00000000" w:rsidRPr="0001488B" w:rsidRDefault="0001488B" w:rsidP="0001488B">
            <w:pPr>
              <w:numPr>
                <w:ilvl w:val="0"/>
                <w:numId w:val="2"/>
              </w:numPr>
              <w:spacing w:before="60" w:after="60"/>
            </w:pPr>
            <w:r w:rsidRPr="0001488B">
              <w:t>Stanje računa je umanjeno za zahtijevani iznos novca.</w:t>
            </w:r>
          </w:p>
        </w:tc>
      </w:tr>
      <w:tr w:rsidR="0001488B" w:rsidRPr="0001488B" w:rsidTr="0001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Prioritet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rPr>
                <w:u w:val="single"/>
              </w:rPr>
              <w:t>Nužno</w:t>
            </w:r>
            <w:r w:rsidRPr="0001488B">
              <w:t xml:space="preserve"> / Poželjno / Opcionalno</w:t>
            </w:r>
          </w:p>
        </w:tc>
      </w:tr>
      <w:tr w:rsidR="0001488B" w:rsidRPr="0001488B" w:rsidTr="0001488B">
        <w:trPr>
          <w:trHeight w:val="3777"/>
        </w:trPr>
        <w:tc>
          <w:tcPr>
            <w:tcW w:w="2230" w:type="dxa"/>
          </w:tcPr>
          <w:p w:rsidR="0001488B" w:rsidRPr="0001488B" w:rsidRDefault="0001488B" w:rsidP="0001488B">
            <w:pPr>
              <w:spacing w:before="60" w:after="60"/>
            </w:pPr>
            <w:r w:rsidRPr="0001488B">
              <w:t>Glavni tok</w:t>
            </w:r>
          </w:p>
        </w:tc>
        <w:tc>
          <w:tcPr>
            <w:tcW w:w="6848" w:type="dxa"/>
          </w:tcPr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Klijent izabire funkciju „isplata gotovine”.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Sustav prikazuje sve tekuće račune s kojih klijent ima pravo isplate gotov</w:t>
            </w:r>
            <w:r w:rsidRPr="0001488B">
              <w:t>ine (vidi PP1).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Klijent izabire željeni račun.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Sustav prikazuje predefinirane iznose za isplatu ILI mogućnost unosa drug</w:t>
            </w:r>
            <w:r w:rsidRPr="0001488B">
              <w:t>og iznosa.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Klijent izabire predefinirani iznos.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Sustav provjerava ima li klijent zahtijevani novac na računu, je li unut</w:t>
            </w:r>
            <w:r w:rsidRPr="0001488B">
              <w:t>ar dnevnog limita (vidi PP2) i ima li bankomat dovoljno novaca. Ako je sve potvrdno, sustav isplaćuje gotovinu i zahtijeva potvrdu završetka transakcije.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Klijent potvrđuje završetak transa</w:t>
            </w:r>
            <w:r w:rsidRPr="0001488B">
              <w:t>kcije.</w:t>
            </w:r>
          </w:p>
          <w:p w:rsidR="00000000" w:rsidRPr="0001488B" w:rsidRDefault="0001488B" w:rsidP="0001488B">
            <w:pPr>
              <w:numPr>
                <w:ilvl w:val="0"/>
                <w:numId w:val="3"/>
              </w:numPr>
              <w:spacing w:before="60" w:after="60"/>
            </w:pPr>
            <w:r w:rsidRPr="0001488B">
              <w:t>Sustav vraća klijentu karticu.</w:t>
            </w:r>
          </w:p>
        </w:tc>
      </w:tr>
      <w:tr w:rsidR="0001488B" w:rsidRPr="0001488B" w:rsidTr="0001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230" w:type="dxa"/>
          </w:tcPr>
          <w:p w:rsidR="0001488B" w:rsidRPr="0001488B" w:rsidRDefault="0001488B" w:rsidP="0001488B">
            <w:pPr>
              <w:spacing w:before="60" w:after="60"/>
            </w:pPr>
            <w:r w:rsidRPr="0001488B">
              <w:t>Alternativni tok 1</w:t>
            </w:r>
          </w:p>
        </w:tc>
        <w:tc>
          <w:tcPr>
            <w:tcW w:w="6848" w:type="dxa"/>
          </w:tcPr>
          <w:p w:rsidR="0001488B" w:rsidRPr="0001488B" w:rsidRDefault="0001488B" w:rsidP="0001488B">
            <w:pPr>
              <w:spacing w:before="60" w:after="60"/>
            </w:pPr>
            <w:r w:rsidRPr="0001488B">
              <w:t>U koraku 4, klijent izabire mogućnost unosa drugog iznosa. Izvršavaju se sljedeći dodatni koraci:</w:t>
            </w:r>
          </w:p>
          <w:p w:rsidR="00000000" w:rsidRPr="0001488B" w:rsidRDefault="0001488B" w:rsidP="0001488B">
            <w:pPr>
              <w:numPr>
                <w:ilvl w:val="0"/>
                <w:numId w:val="4"/>
              </w:numPr>
              <w:spacing w:before="60" w:after="60"/>
            </w:pPr>
            <w:r w:rsidRPr="0001488B">
              <w:t>Klijent unosi drugi iznos novc</w:t>
            </w:r>
            <w:r w:rsidRPr="0001488B">
              <w:t>a.</w:t>
            </w:r>
          </w:p>
          <w:p w:rsidR="0001488B" w:rsidRPr="0001488B" w:rsidRDefault="0001488B" w:rsidP="0001488B">
            <w:pPr>
              <w:spacing w:before="60" w:after="60"/>
            </w:pPr>
            <w:r w:rsidRPr="0001488B">
              <w:t>Nakon toga nastavlja se normalni tijek od točke 5.</w:t>
            </w:r>
          </w:p>
        </w:tc>
      </w:tr>
      <w:tr w:rsidR="0001488B" w:rsidRPr="0001488B" w:rsidTr="0001488B">
        <w:trPr>
          <w:trHeight w:val="503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rPr>
                <w:bCs/>
              </w:rPr>
              <w:t>Iznimke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rPr>
                <w:bCs/>
              </w:rPr>
              <w:t>6.a. Sustav zaključuje da klijent nema zahtijevani iznos novca na izabranom računu te ispisuje odgovarajuću poruku na ekranu i vraća karticu klijentu. Slučaj završava.</w:t>
            </w:r>
          </w:p>
          <w:p w:rsidR="0001488B" w:rsidRPr="0001488B" w:rsidRDefault="0001488B" w:rsidP="0001488B">
            <w:pPr>
              <w:spacing w:before="60" w:after="60"/>
            </w:pPr>
            <w:r w:rsidRPr="0001488B">
              <w:rPr>
                <w:bCs/>
              </w:rPr>
              <w:t>6.b. Sustav zaključuje da bankomat nema zahtijevani iznos novca na raspolaganju te ispisuje odgovarajuću poruku na ekranu i vraća karticu klijentu. Slučaj završava.</w:t>
            </w:r>
          </w:p>
        </w:tc>
      </w:tr>
      <w:tr w:rsidR="0001488B" w:rsidRPr="0001488B" w:rsidTr="0001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Uključuje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UC1.1 Prijava klijenta banke putem kartice banke</w:t>
            </w:r>
          </w:p>
        </w:tc>
      </w:tr>
      <w:tr w:rsidR="0001488B" w:rsidRPr="0001488B" w:rsidTr="0001488B">
        <w:trPr>
          <w:trHeight w:val="51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Poslovna pravila</w:t>
            </w:r>
          </w:p>
        </w:tc>
        <w:tc>
          <w:tcPr>
            <w:tcW w:w="6848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PP1 – Klijentu se prikazuju svi osobni tekući računi te ostali tekući računi u banci na koje je opunomoćen za isplatu gotovine.</w:t>
            </w:r>
          </w:p>
          <w:p w:rsidR="0001488B" w:rsidRPr="0001488B" w:rsidRDefault="0001488B" w:rsidP="0001488B">
            <w:pPr>
              <w:spacing w:before="60" w:after="60"/>
            </w:pPr>
            <w:r w:rsidRPr="0001488B">
              <w:t>PP2 – Limit za isplatu gotovine s tekućeg računa je 2.000 kn.</w:t>
            </w:r>
          </w:p>
        </w:tc>
      </w:tr>
      <w:tr w:rsidR="0001488B" w:rsidRPr="0001488B" w:rsidTr="0001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lastRenderedPageBreak/>
              <w:t>Nefunkcionalni zahtjevi</w:t>
            </w:r>
          </w:p>
        </w:tc>
        <w:tc>
          <w:tcPr>
            <w:tcW w:w="6848" w:type="dxa"/>
            <w:hideMark/>
          </w:tcPr>
          <w:p w:rsidR="00000000" w:rsidRPr="0001488B" w:rsidRDefault="0001488B" w:rsidP="0001488B">
            <w:pPr>
              <w:numPr>
                <w:ilvl w:val="0"/>
                <w:numId w:val="5"/>
              </w:numPr>
              <w:spacing w:before="60" w:after="60"/>
            </w:pPr>
            <w:r w:rsidRPr="0001488B">
              <w:t>Prosječni slučaj treba trajati do 30 sekundi.</w:t>
            </w:r>
          </w:p>
          <w:p w:rsidR="00000000" w:rsidRPr="0001488B" w:rsidRDefault="0001488B" w:rsidP="0001488B">
            <w:pPr>
              <w:numPr>
                <w:ilvl w:val="0"/>
                <w:numId w:val="5"/>
              </w:numPr>
              <w:spacing w:before="60" w:after="60"/>
            </w:pPr>
            <w:r w:rsidRPr="0001488B">
              <w:t>Sustav ne smije prouzročiti više od jedne kritične greške tjedno i jedne nekrit</w:t>
            </w:r>
            <w:r w:rsidRPr="0001488B">
              <w:t>ične greške dnevno.</w:t>
            </w:r>
          </w:p>
        </w:tc>
      </w:tr>
      <w:tr w:rsidR="0001488B" w:rsidRPr="0001488B" w:rsidTr="0001488B">
        <w:trPr>
          <w:trHeight w:val="510"/>
        </w:trPr>
        <w:tc>
          <w:tcPr>
            <w:tcW w:w="2230" w:type="dxa"/>
            <w:hideMark/>
          </w:tcPr>
          <w:p w:rsidR="0001488B" w:rsidRPr="0001488B" w:rsidRDefault="0001488B" w:rsidP="0001488B">
            <w:pPr>
              <w:spacing w:before="60" w:after="60"/>
            </w:pPr>
            <w:r w:rsidRPr="0001488B">
              <w:t>Pretpostavke</w:t>
            </w:r>
          </w:p>
        </w:tc>
        <w:tc>
          <w:tcPr>
            <w:tcW w:w="6848" w:type="dxa"/>
            <w:hideMark/>
          </w:tcPr>
          <w:p w:rsidR="00000000" w:rsidRPr="0001488B" w:rsidRDefault="0001488B" w:rsidP="0001488B">
            <w:pPr>
              <w:numPr>
                <w:ilvl w:val="0"/>
                <w:numId w:val="6"/>
              </w:numPr>
              <w:spacing w:before="60" w:after="60"/>
            </w:pPr>
            <w:r w:rsidRPr="0001488B">
              <w:t>Klijent gotovi hrvatski jezik.</w:t>
            </w:r>
          </w:p>
          <w:p w:rsidR="00000000" w:rsidRPr="0001488B" w:rsidRDefault="0001488B" w:rsidP="0001488B">
            <w:pPr>
              <w:numPr>
                <w:ilvl w:val="0"/>
                <w:numId w:val="6"/>
              </w:numPr>
              <w:spacing w:before="60" w:after="60"/>
            </w:pPr>
            <w:r w:rsidRPr="0001488B">
              <w:t>Klijent je dobrog vida.</w:t>
            </w:r>
          </w:p>
        </w:tc>
      </w:tr>
    </w:tbl>
    <w:p w:rsidR="0067691B" w:rsidRDefault="0067691B"/>
    <w:sectPr w:rsidR="0067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0C17"/>
    <w:multiLevelType w:val="hybridMultilevel"/>
    <w:tmpl w:val="F482D6F8"/>
    <w:lvl w:ilvl="0" w:tplc="9314D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FCA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088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02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1AA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1AC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AF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980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86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53832"/>
    <w:multiLevelType w:val="hybridMultilevel"/>
    <w:tmpl w:val="2B80129C"/>
    <w:lvl w:ilvl="0" w:tplc="670A8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01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A8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0A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27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E0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02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E3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A9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2F4547"/>
    <w:multiLevelType w:val="hybridMultilevel"/>
    <w:tmpl w:val="0AAA7E4C"/>
    <w:lvl w:ilvl="0" w:tplc="A762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7E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43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68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08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FA4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246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41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8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8438E"/>
    <w:multiLevelType w:val="hybridMultilevel"/>
    <w:tmpl w:val="BC327D24"/>
    <w:lvl w:ilvl="0" w:tplc="59988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889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E9D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227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689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8C7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4E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04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87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601AF"/>
    <w:multiLevelType w:val="hybridMultilevel"/>
    <w:tmpl w:val="993C35AE"/>
    <w:lvl w:ilvl="0" w:tplc="C6C4F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48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AB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7E9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4C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6E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96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61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23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101FD"/>
    <w:multiLevelType w:val="hybridMultilevel"/>
    <w:tmpl w:val="DB9ED654"/>
    <w:lvl w:ilvl="0" w:tplc="F7CE2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AE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AE76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E8F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AF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67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20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C9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8B"/>
    <w:rsid w:val="0001488B"/>
    <w:rsid w:val="0067691B"/>
    <w:rsid w:val="00D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45446-16CF-48CC-A518-C5DCDE40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8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88B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148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4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4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0148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01488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148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Pršić</dc:creator>
  <cp:keywords/>
  <dc:description/>
  <cp:lastModifiedBy>Marko Pršić</cp:lastModifiedBy>
  <cp:revision>1</cp:revision>
  <dcterms:created xsi:type="dcterms:W3CDTF">2015-10-13T22:30:00Z</dcterms:created>
  <dcterms:modified xsi:type="dcterms:W3CDTF">2015-10-13T22:38:00Z</dcterms:modified>
</cp:coreProperties>
</file>