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C2A" w:rsidRPr="00E94C2A" w:rsidRDefault="00E94C2A" w:rsidP="00E94C2A">
      <w:pPr>
        <w:jc w:val="center"/>
        <w:rPr>
          <w:sz w:val="32"/>
          <w:szCs w:val="32"/>
        </w:rPr>
      </w:pPr>
      <w:r>
        <w:rPr>
          <w:sz w:val="32"/>
          <w:szCs w:val="32"/>
        </w:rPr>
        <w:t>Formal Mini-Case Rough Draft</w:t>
      </w:r>
    </w:p>
    <w:p w:rsidR="00E94C2A" w:rsidRDefault="00E94C2A" w:rsidP="00DB50AF"/>
    <w:p w:rsidR="00E94C2A" w:rsidRDefault="00E94C2A" w:rsidP="00DB50AF">
      <w:r>
        <w:t>After a thorough review of ASI</w:t>
      </w:r>
      <w:r w:rsidR="007C7A60">
        <w:t>’s</w:t>
      </w:r>
      <w:r>
        <w:t xml:space="preserve"> current situation, we believe that by </w:t>
      </w:r>
      <w:r w:rsidR="007C7A60">
        <w:t>redesigning two new supply chains</w:t>
      </w:r>
      <w:r>
        <w:t xml:space="preserve">, moving manufacturing facilities, working with our 3PL, </w:t>
      </w:r>
      <w:r w:rsidR="008761F8">
        <w:t xml:space="preserve">and designing new information flows ASI can increase sales, lower operating costs, and improve customer </w:t>
      </w:r>
      <w:r w:rsidR="00E23094">
        <w:t>metrics</w:t>
      </w:r>
      <w:r w:rsidR="008761F8">
        <w:t>.</w:t>
      </w:r>
    </w:p>
    <w:p w:rsidR="00E94C2A" w:rsidRDefault="00E94C2A" w:rsidP="00DB50AF"/>
    <w:p w:rsidR="008761F8" w:rsidRDefault="008761F8" w:rsidP="00DB50AF">
      <w:pPr>
        <w:rPr>
          <w:b/>
          <w:u w:val="single"/>
        </w:rPr>
      </w:pPr>
      <w:r w:rsidRPr="008761F8">
        <w:rPr>
          <w:b/>
          <w:u w:val="single"/>
        </w:rPr>
        <w:t xml:space="preserve">ASI’s </w:t>
      </w:r>
      <w:r w:rsidR="00E23094">
        <w:rPr>
          <w:b/>
          <w:u w:val="single"/>
        </w:rPr>
        <w:t>Identity and Customers</w:t>
      </w:r>
    </w:p>
    <w:p w:rsidR="008761F8" w:rsidRDefault="008761F8" w:rsidP="00DB50AF">
      <w:r>
        <w:t>ASI is known as a good brand with innovative products.  We do not own our supply chain and as such focus on innovative products as opposed to operating efficiencies.</w:t>
      </w:r>
    </w:p>
    <w:p w:rsidR="008761F8" w:rsidRDefault="008761F8" w:rsidP="00DB50AF"/>
    <w:p w:rsidR="008761F8" w:rsidRPr="008761F8" w:rsidRDefault="00E23094" w:rsidP="00DB50AF">
      <w:r>
        <w:t>Turning to our customers, t</w:t>
      </w:r>
      <w:r w:rsidR="008761F8">
        <w:t>he table below gives a quick snapshot</w:t>
      </w:r>
      <w:r>
        <w:t xml:space="preserve"> of</w:t>
      </w:r>
      <w:r w:rsidR="008761F8">
        <w:t xml:space="preserve"> their supply chain needs and characteristics:</w:t>
      </w:r>
    </w:p>
    <w:p w:rsidR="00DB50AF" w:rsidRDefault="00DB50AF" w:rsidP="00DB50AF"/>
    <w:tbl>
      <w:tblPr>
        <w:tblStyle w:val="TableGrid"/>
        <w:tblW w:w="0" w:type="auto"/>
        <w:tblLook w:val="04A0" w:firstRow="1" w:lastRow="0" w:firstColumn="1" w:lastColumn="0" w:noHBand="0" w:noVBand="1"/>
      </w:tblPr>
      <w:tblGrid>
        <w:gridCol w:w="1319"/>
        <w:gridCol w:w="1371"/>
        <w:gridCol w:w="1212"/>
        <w:gridCol w:w="1240"/>
        <w:gridCol w:w="1233"/>
        <w:gridCol w:w="1247"/>
        <w:gridCol w:w="1234"/>
      </w:tblGrid>
      <w:tr w:rsidR="007C7A60" w:rsidTr="007C7A60">
        <w:tc>
          <w:tcPr>
            <w:tcW w:w="1265" w:type="dxa"/>
          </w:tcPr>
          <w:p w:rsidR="007C7A60" w:rsidRPr="007C7A60" w:rsidRDefault="007C7A60" w:rsidP="007C7A60">
            <w:pPr>
              <w:jc w:val="center"/>
              <w:rPr>
                <w:b/>
                <w:sz w:val="20"/>
                <w:szCs w:val="20"/>
              </w:rPr>
            </w:pPr>
            <w:r w:rsidRPr="007C7A60">
              <w:rPr>
                <w:b/>
                <w:sz w:val="20"/>
                <w:szCs w:val="20"/>
              </w:rPr>
              <w:t>Segment</w:t>
            </w:r>
          </w:p>
        </w:tc>
        <w:tc>
          <w:tcPr>
            <w:tcW w:w="1265" w:type="dxa"/>
          </w:tcPr>
          <w:p w:rsidR="007C7A60" w:rsidRPr="007C7A60" w:rsidRDefault="007C7A60" w:rsidP="007C7A60">
            <w:pPr>
              <w:jc w:val="center"/>
              <w:rPr>
                <w:b/>
                <w:sz w:val="20"/>
                <w:szCs w:val="20"/>
              </w:rPr>
            </w:pPr>
            <w:r w:rsidRPr="007C7A60">
              <w:rPr>
                <w:b/>
                <w:sz w:val="20"/>
                <w:szCs w:val="20"/>
              </w:rPr>
              <w:t>Form</w:t>
            </w:r>
          </w:p>
        </w:tc>
        <w:tc>
          <w:tcPr>
            <w:tcW w:w="1265" w:type="dxa"/>
          </w:tcPr>
          <w:p w:rsidR="007C7A60" w:rsidRPr="007C7A60" w:rsidRDefault="007C7A60" w:rsidP="007C7A60">
            <w:pPr>
              <w:jc w:val="center"/>
              <w:rPr>
                <w:b/>
                <w:sz w:val="20"/>
                <w:szCs w:val="20"/>
              </w:rPr>
            </w:pPr>
            <w:r w:rsidRPr="007C7A60">
              <w:rPr>
                <w:b/>
                <w:sz w:val="20"/>
                <w:szCs w:val="20"/>
              </w:rPr>
              <w:t>Time</w:t>
            </w:r>
          </w:p>
        </w:tc>
        <w:tc>
          <w:tcPr>
            <w:tcW w:w="1265" w:type="dxa"/>
          </w:tcPr>
          <w:p w:rsidR="007C7A60" w:rsidRPr="007C7A60" w:rsidRDefault="007C7A60" w:rsidP="007C7A60">
            <w:pPr>
              <w:jc w:val="center"/>
              <w:rPr>
                <w:b/>
                <w:sz w:val="20"/>
                <w:szCs w:val="20"/>
              </w:rPr>
            </w:pPr>
            <w:r w:rsidRPr="007C7A60">
              <w:rPr>
                <w:b/>
                <w:sz w:val="20"/>
                <w:szCs w:val="20"/>
              </w:rPr>
              <w:t>Place</w:t>
            </w:r>
          </w:p>
        </w:tc>
        <w:tc>
          <w:tcPr>
            <w:tcW w:w="1265" w:type="dxa"/>
          </w:tcPr>
          <w:p w:rsidR="007C7A60" w:rsidRPr="007C7A60" w:rsidRDefault="007C7A60" w:rsidP="007C7A60">
            <w:pPr>
              <w:jc w:val="center"/>
              <w:rPr>
                <w:b/>
                <w:sz w:val="20"/>
                <w:szCs w:val="20"/>
              </w:rPr>
            </w:pPr>
            <w:r w:rsidRPr="007C7A60">
              <w:rPr>
                <w:b/>
                <w:sz w:val="20"/>
                <w:szCs w:val="20"/>
              </w:rPr>
              <w:t>Volume</w:t>
            </w:r>
          </w:p>
        </w:tc>
        <w:tc>
          <w:tcPr>
            <w:tcW w:w="1265" w:type="dxa"/>
          </w:tcPr>
          <w:p w:rsidR="007C7A60" w:rsidRPr="007C7A60" w:rsidRDefault="007C7A60" w:rsidP="007C7A60">
            <w:pPr>
              <w:jc w:val="center"/>
              <w:rPr>
                <w:b/>
                <w:sz w:val="20"/>
                <w:szCs w:val="20"/>
              </w:rPr>
            </w:pPr>
            <w:r w:rsidRPr="007C7A60">
              <w:rPr>
                <w:b/>
                <w:sz w:val="20"/>
                <w:szCs w:val="20"/>
              </w:rPr>
              <w:t>Volatility</w:t>
            </w:r>
          </w:p>
        </w:tc>
        <w:tc>
          <w:tcPr>
            <w:tcW w:w="1266" w:type="dxa"/>
          </w:tcPr>
          <w:p w:rsidR="007C7A60" w:rsidRPr="007C7A60" w:rsidRDefault="007C7A60" w:rsidP="007C7A60">
            <w:pPr>
              <w:jc w:val="center"/>
              <w:rPr>
                <w:b/>
                <w:sz w:val="20"/>
                <w:szCs w:val="20"/>
              </w:rPr>
            </w:pPr>
            <w:r w:rsidRPr="007C7A60">
              <w:rPr>
                <w:b/>
                <w:sz w:val="20"/>
                <w:szCs w:val="20"/>
              </w:rPr>
              <w:t>Margin</w:t>
            </w:r>
          </w:p>
        </w:tc>
      </w:tr>
      <w:tr w:rsidR="007C7A60" w:rsidTr="007C7A60">
        <w:tc>
          <w:tcPr>
            <w:tcW w:w="1265" w:type="dxa"/>
          </w:tcPr>
          <w:p w:rsidR="007C7A60" w:rsidRPr="007C7A60" w:rsidRDefault="007C7A60" w:rsidP="007C7A60">
            <w:pPr>
              <w:jc w:val="center"/>
              <w:rPr>
                <w:b/>
                <w:sz w:val="20"/>
                <w:szCs w:val="20"/>
              </w:rPr>
            </w:pPr>
            <w:r w:rsidRPr="007C7A60">
              <w:rPr>
                <w:b/>
                <w:sz w:val="20"/>
                <w:szCs w:val="20"/>
              </w:rPr>
              <w:t>Mass Merchants</w:t>
            </w:r>
          </w:p>
        </w:tc>
        <w:tc>
          <w:tcPr>
            <w:tcW w:w="1265" w:type="dxa"/>
          </w:tcPr>
          <w:p w:rsidR="007C7A60" w:rsidRPr="007C7A60" w:rsidRDefault="007C7A60" w:rsidP="00DB50AF">
            <w:pPr>
              <w:rPr>
                <w:sz w:val="20"/>
                <w:szCs w:val="20"/>
              </w:rPr>
            </w:pPr>
            <w:r>
              <w:rPr>
                <w:sz w:val="20"/>
                <w:szCs w:val="20"/>
              </w:rPr>
              <w:t>Low-end products</w:t>
            </w:r>
          </w:p>
        </w:tc>
        <w:tc>
          <w:tcPr>
            <w:tcW w:w="1265" w:type="dxa"/>
          </w:tcPr>
          <w:p w:rsidR="007C7A60" w:rsidRPr="007C7A60" w:rsidRDefault="007C7A60" w:rsidP="00DB50AF">
            <w:pPr>
              <w:rPr>
                <w:sz w:val="20"/>
                <w:szCs w:val="20"/>
              </w:rPr>
            </w:pPr>
            <w:r>
              <w:rPr>
                <w:sz w:val="20"/>
                <w:szCs w:val="20"/>
              </w:rPr>
              <w:t>2-3 days</w:t>
            </w:r>
          </w:p>
        </w:tc>
        <w:tc>
          <w:tcPr>
            <w:tcW w:w="1265" w:type="dxa"/>
          </w:tcPr>
          <w:p w:rsidR="007C7A60" w:rsidRPr="007C7A60" w:rsidRDefault="007C7A60" w:rsidP="00DB50AF">
            <w:pPr>
              <w:rPr>
                <w:sz w:val="20"/>
                <w:szCs w:val="20"/>
              </w:rPr>
            </w:pPr>
            <w:r>
              <w:rPr>
                <w:sz w:val="20"/>
                <w:szCs w:val="20"/>
              </w:rPr>
              <w:t>Their DC</w:t>
            </w:r>
          </w:p>
        </w:tc>
        <w:tc>
          <w:tcPr>
            <w:tcW w:w="1265" w:type="dxa"/>
          </w:tcPr>
          <w:p w:rsidR="007C7A60" w:rsidRPr="007C7A60" w:rsidRDefault="007C7A60" w:rsidP="00DB50AF">
            <w:pPr>
              <w:rPr>
                <w:sz w:val="20"/>
                <w:szCs w:val="20"/>
              </w:rPr>
            </w:pPr>
            <w:r>
              <w:rPr>
                <w:sz w:val="20"/>
                <w:szCs w:val="20"/>
              </w:rPr>
              <w:t>High</w:t>
            </w:r>
          </w:p>
        </w:tc>
        <w:tc>
          <w:tcPr>
            <w:tcW w:w="1265" w:type="dxa"/>
          </w:tcPr>
          <w:p w:rsidR="007C7A60" w:rsidRPr="007C7A60" w:rsidRDefault="007C7A60" w:rsidP="00DB50AF">
            <w:pPr>
              <w:rPr>
                <w:sz w:val="20"/>
                <w:szCs w:val="20"/>
              </w:rPr>
            </w:pPr>
            <w:r>
              <w:rPr>
                <w:sz w:val="20"/>
                <w:szCs w:val="20"/>
              </w:rPr>
              <w:t>Low</w:t>
            </w:r>
          </w:p>
        </w:tc>
        <w:tc>
          <w:tcPr>
            <w:tcW w:w="1266" w:type="dxa"/>
          </w:tcPr>
          <w:p w:rsidR="007C7A60" w:rsidRPr="007C7A60" w:rsidRDefault="007C7A60" w:rsidP="00DB50AF">
            <w:pPr>
              <w:rPr>
                <w:sz w:val="20"/>
                <w:szCs w:val="20"/>
              </w:rPr>
            </w:pPr>
            <w:r>
              <w:rPr>
                <w:sz w:val="20"/>
                <w:szCs w:val="20"/>
              </w:rPr>
              <w:t>Low</w:t>
            </w:r>
          </w:p>
        </w:tc>
      </w:tr>
      <w:tr w:rsidR="007C7A60" w:rsidTr="007C7A60">
        <w:tc>
          <w:tcPr>
            <w:tcW w:w="1265" w:type="dxa"/>
          </w:tcPr>
          <w:p w:rsidR="007C7A60" w:rsidRPr="007C7A60" w:rsidRDefault="007C7A60" w:rsidP="007C7A60">
            <w:pPr>
              <w:jc w:val="center"/>
              <w:rPr>
                <w:b/>
                <w:sz w:val="20"/>
                <w:szCs w:val="20"/>
              </w:rPr>
            </w:pPr>
            <w:r w:rsidRPr="007C7A60">
              <w:rPr>
                <w:b/>
                <w:sz w:val="20"/>
                <w:szCs w:val="20"/>
              </w:rPr>
              <w:t>Online &amp; Specialty Outlets</w:t>
            </w:r>
          </w:p>
        </w:tc>
        <w:tc>
          <w:tcPr>
            <w:tcW w:w="1265" w:type="dxa"/>
          </w:tcPr>
          <w:p w:rsidR="007C7A60" w:rsidRPr="007C7A60" w:rsidRDefault="007C7A60" w:rsidP="00DB50AF">
            <w:pPr>
              <w:rPr>
                <w:sz w:val="20"/>
                <w:szCs w:val="20"/>
              </w:rPr>
            </w:pPr>
            <w:r>
              <w:rPr>
                <w:sz w:val="20"/>
                <w:szCs w:val="20"/>
              </w:rPr>
              <w:t>Entire product line</w:t>
            </w:r>
          </w:p>
        </w:tc>
        <w:tc>
          <w:tcPr>
            <w:tcW w:w="1265" w:type="dxa"/>
          </w:tcPr>
          <w:p w:rsidR="007C7A60" w:rsidRPr="007C7A60" w:rsidRDefault="007C7A60" w:rsidP="00DB50AF">
            <w:pPr>
              <w:rPr>
                <w:sz w:val="20"/>
                <w:szCs w:val="20"/>
              </w:rPr>
            </w:pPr>
            <w:r>
              <w:rPr>
                <w:sz w:val="20"/>
                <w:szCs w:val="20"/>
              </w:rPr>
              <w:t>5-7 days</w:t>
            </w:r>
          </w:p>
        </w:tc>
        <w:tc>
          <w:tcPr>
            <w:tcW w:w="1265" w:type="dxa"/>
          </w:tcPr>
          <w:p w:rsidR="007C7A60" w:rsidRPr="007C7A60" w:rsidRDefault="007C7A60" w:rsidP="00DB50AF">
            <w:pPr>
              <w:rPr>
                <w:sz w:val="20"/>
                <w:szCs w:val="20"/>
              </w:rPr>
            </w:pPr>
            <w:r>
              <w:rPr>
                <w:sz w:val="20"/>
                <w:szCs w:val="20"/>
              </w:rPr>
              <w:t>Their DC</w:t>
            </w:r>
          </w:p>
        </w:tc>
        <w:tc>
          <w:tcPr>
            <w:tcW w:w="1265" w:type="dxa"/>
          </w:tcPr>
          <w:p w:rsidR="007C7A60" w:rsidRPr="007C7A60" w:rsidRDefault="007C7A60" w:rsidP="00DB50AF">
            <w:pPr>
              <w:rPr>
                <w:sz w:val="20"/>
                <w:szCs w:val="20"/>
              </w:rPr>
            </w:pPr>
            <w:r>
              <w:rPr>
                <w:sz w:val="20"/>
                <w:szCs w:val="20"/>
              </w:rPr>
              <w:t>Medium</w:t>
            </w:r>
          </w:p>
        </w:tc>
        <w:tc>
          <w:tcPr>
            <w:tcW w:w="1265" w:type="dxa"/>
          </w:tcPr>
          <w:p w:rsidR="007C7A60" w:rsidRPr="007C7A60" w:rsidRDefault="007C7A60" w:rsidP="00DB50AF">
            <w:pPr>
              <w:rPr>
                <w:sz w:val="20"/>
                <w:szCs w:val="20"/>
              </w:rPr>
            </w:pPr>
            <w:r>
              <w:rPr>
                <w:sz w:val="20"/>
                <w:szCs w:val="20"/>
              </w:rPr>
              <w:t>Medium</w:t>
            </w:r>
          </w:p>
        </w:tc>
        <w:tc>
          <w:tcPr>
            <w:tcW w:w="1266" w:type="dxa"/>
          </w:tcPr>
          <w:p w:rsidR="007C7A60" w:rsidRPr="007C7A60" w:rsidRDefault="007C7A60" w:rsidP="00DB50AF">
            <w:pPr>
              <w:rPr>
                <w:sz w:val="20"/>
                <w:szCs w:val="20"/>
              </w:rPr>
            </w:pPr>
            <w:r>
              <w:rPr>
                <w:sz w:val="20"/>
                <w:szCs w:val="20"/>
              </w:rPr>
              <w:t>Medium</w:t>
            </w:r>
          </w:p>
        </w:tc>
      </w:tr>
      <w:tr w:rsidR="007C7A60" w:rsidTr="007C7A60">
        <w:tc>
          <w:tcPr>
            <w:tcW w:w="1265" w:type="dxa"/>
          </w:tcPr>
          <w:p w:rsidR="007C7A60" w:rsidRPr="007C7A60" w:rsidRDefault="007C7A60" w:rsidP="007C7A60">
            <w:pPr>
              <w:jc w:val="center"/>
              <w:rPr>
                <w:b/>
                <w:sz w:val="20"/>
                <w:szCs w:val="20"/>
              </w:rPr>
            </w:pPr>
            <w:r w:rsidRPr="007C7A60">
              <w:rPr>
                <w:b/>
                <w:sz w:val="20"/>
                <w:szCs w:val="20"/>
              </w:rPr>
              <w:t>Franchisees</w:t>
            </w:r>
          </w:p>
        </w:tc>
        <w:tc>
          <w:tcPr>
            <w:tcW w:w="1265" w:type="dxa"/>
          </w:tcPr>
          <w:p w:rsidR="007C7A60" w:rsidRPr="007C7A60" w:rsidRDefault="007C7A60" w:rsidP="00DB50AF">
            <w:pPr>
              <w:rPr>
                <w:sz w:val="20"/>
                <w:szCs w:val="20"/>
              </w:rPr>
            </w:pPr>
            <w:r>
              <w:rPr>
                <w:sz w:val="20"/>
                <w:szCs w:val="20"/>
              </w:rPr>
              <w:t>Customizable in-ground products</w:t>
            </w:r>
          </w:p>
        </w:tc>
        <w:tc>
          <w:tcPr>
            <w:tcW w:w="1265" w:type="dxa"/>
          </w:tcPr>
          <w:p w:rsidR="007C7A60" w:rsidRPr="007C7A60" w:rsidRDefault="007C7A60" w:rsidP="00DB50AF">
            <w:pPr>
              <w:rPr>
                <w:sz w:val="20"/>
                <w:szCs w:val="20"/>
              </w:rPr>
            </w:pPr>
            <w:r>
              <w:rPr>
                <w:sz w:val="20"/>
                <w:szCs w:val="20"/>
              </w:rPr>
              <w:t>7+ days</w:t>
            </w:r>
          </w:p>
        </w:tc>
        <w:tc>
          <w:tcPr>
            <w:tcW w:w="1265" w:type="dxa"/>
          </w:tcPr>
          <w:p w:rsidR="007C7A60" w:rsidRPr="007C7A60" w:rsidRDefault="007C7A60" w:rsidP="00DB50AF">
            <w:pPr>
              <w:rPr>
                <w:sz w:val="20"/>
                <w:szCs w:val="20"/>
              </w:rPr>
            </w:pPr>
            <w:r>
              <w:rPr>
                <w:sz w:val="20"/>
                <w:szCs w:val="20"/>
              </w:rPr>
              <w:t>Their locations</w:t>
            </w:r>
          </w:p>
        </w:tc>
        <w:tc>
          <w:tcPr>
            <w:tcW w:w="1265" w:type="dxa"/>
          </w:tcPr>
          <w:p w:rsidR="007C7A60" w:rsidRPr="007C7A60" w:rsidRDefault="007C7A60" w:rsidP="00DB50AF">
            <w:pPr>
              <w:rPr>
                <w:sz w:val="20"/>
                <w:szCs w:val="20"/>
              </w:rPr>
            </w:pPr>
            <w:r>
              <w:rPr>
                <w:sz w:val="20"/>
                <w:szCs w:val="20"/>
              </w:rPr>
              <w:t>Low</w:t>
            </w:r>
          </w:p>
        </w:tc>
        <w:tc>
          <w:tcPr>
            <w:tcW w:w="1265" w:type="dxa"/>
          </w:tcPr>
          <w:p w:rsidR="007C7A60" w:rsidRPr="007C7A60" w:rsidRDefault="007C7A60" w:rsidP="00DB50AF">
            <w:pPr>
              <w:rPr>
                <w:sz w:val="20"/>
                <w:szCs w:val="20"/>
              </w:rPr>
            </w:pPr>
            <w:r>
              <w:rPr>
                <w:sz w:val="20"/>
                <w:szCs w:val="20"/>
              </w:rPr>
              <w:t>High</w:t>
            </w:r>
          </w:p>
        </w:tc>
        <w:tc>
          <w:tcPr>
            <w:tcW w:w="1266" w:type="dxa"/>
          </w:tcPr>
          <w:p w:rsidR="007C7A60" w:rsidRPr="007C7A60" w:rsidRDefault="007C7A60" w:rsidP="00DB50AF">
            <w:pPr>
              <w:rPr>
                <w:sz w:val="20"/>
                <w:szCs w:val="20"/>
              </w:rPr>
            </w:pPr>
            <w:r>
              <w:rPr>
                <w:sz w:val="20"/>
                <w:szCs w:val="20"/>
              </w:rPr>
              <w:t>High</w:t>
            </w:r>
          </w:p>
        </w:tc>
      </w:tr>
    </w:tbl>
    <w:p w:rsidR="00DB50AF" w:rsidRDefault="00DB50AF" w:rsidP="00DB50AF"/>
    <w:p w:rsidR="00E23094" w:rsidRPr="00E23094" w:rsidRDefault="00E23094" w:rsidP="00DB50AF">
      <w:pPr>
        <w:rPr>
          <w:b/>
          <w:u w:val="single"/>
        </w:rPr>
      </w:pPr>
      <w:r>
        <w:rPr>
          <w:b/>
          <w:u w:val="single"/>
        </w:rPr>
        <w:t>ASI’s Challenges</w:t>
      </w:r>
    </w:p>
    <w:p w:rsidR="00E23094" w:rsidRDefault="00E23094" w:rsidP="00DB50AF">
      <w:r>
        <w:t>Currently every customer segment is served the exact same way and each product is created equal.  However, the table clearly shows different segments have very different demands of our supply chain.  The simple truth is that no singular supply chain will be able to satisfy all segments.</w:t>
      </w:r>
      <w:r w:rsidR="002B6629">
        <w:t xml:space="preserve">  </w:t>
      </w:r>
      <w:r>
        <w:t>Digging deeper, ASI is contending with varying lead times, volumes, and volatilities.</w:t>
      </w:r>
      <w:r w:rsidR="002B6629">
        <w:t xml:space="preserve">  We believe that two new supply chains will be able to serve all segments while dealing with these different needs and variations.</w:t>
      </w:r>
    </w:p>
    <w:p w:rsidR="002B6629" w:rsidRDefault="002B6629" w:rsidP="00DB50AF"/>
    <w:p w:rsidR="002B6629" w:rsidRDefault="002B6629" w:rsidP="00DB50AF">
      <w:pPr>
        <w:rPr>
          <w:b/>
          <w:u w:val="single"/>
        </w:rPr>
      </w:pPr>
      <w:r>
        <w:rPr>
          <w:b/>
          <w:u w:val="single"/>
        </w:rPr>
        <w:t>Designing the Supply Chains</w:t>
      </w:r>
    </w:p>
    <w:p w:rsidR="002B6629" w:rsidRDefault="002B6629" w:rsidP="00DB50AF">
      <w:r>
        <w:t xml:space="preserve">The summary of our supply chains can be found in the table below with </w:t>
      </w:r>
      <w:r w:rsidR="007C7BBE">
        <w:t>justification following</w:t>
      </w:r>
      <w:r>
        <w:t>:</w:t>
      </w:r>
    </w:p>
    <w:p w:rsidR="002B6629" w:rsidRDefault="002B6629" w:rsidP="00DB50AF"/>
    <w:tbl>
      <w:tblPr>
        <w:tblStyle w:val="TableGrid"/>
        <w:tblW w:w="9118" w:type="dxa"/>
        <w:tblLayout w:type="fixed"/>
        <w:tblLook w:val="04A0" w:firstRow="1" w:lastRow="0" w:firstColumn="1" w:lastColumn="0" w:noHBand="0" w:noVBand="1"/>
      </w:tblPr>
      <w:tblGrid>
        <w:gridCol w:w="940"/>
        <w:gridCol w:w="1764"/>
        <w:gridCol w:w="1298"/>
        <w:gridCol w:w="1298"/>
        <w:gridCol w:w="1115"/>
        <w:gridCol w:w="1667"/>
        <w:gridCol w:w="1036"/>
      </w:tblGrid>
      <w:tr w:rsidR="007C7BBE" w:rsidTr="007C7BBE">
        <w:trPr>
          <w:trHeight w:val="491"/>
        </w:trPr>
        <w:tc>
          <w:tcPr>
            <w:tcW w:w="940" w:type="dxa"/>
          </w:tcPr>
          <w:p w:rsidR="007C7BBE" w:rsidRPr="002B6629" w:rsidRDefault="007C7BBE" w:rsidP="002B6629">
            <w:pPr>
              <w:jc w:val="center"/>
              <w:rPr>
                <w:b/>
                <w:sz w:val="20"/>
                <w:szCs w:val="20"/>
              </w:rPr>
            </w:pPr>
            <w:r w:rsidRPr="002B6629">
              <w:rPr>
                <w:b/>
                <w:sz w:val="20"/>
                <w:szCs w:val="20"/>
              </w:rPr>
              <w:t>Supply Chain</w:t>
            </w:r>
          </w:p>
        </w:tc>
        <w:tc>
          <w:tcPr>
            <w:tcW w:w="1764" w:type="dxa"/>
          </w:tcPr>
          <w:p w:rsidR="007C7BBE" w:rsidRPr="002B6629" w:rsidRDefault="007C7BBE" w:rsidP="002B6629">
            <w:pPr>
              <w:jc w:val="center"/>
              <w:rPr>
                <w:b/>
                <w:sz w:val="20"/>
                <w:szCs w:val="20"/>
              </w:rPr>
            </w:pPr>
            <w:r>
              <w:rPr>
                <w:b/>
                <w:sz w:val="20"/>
                <w:szCs w:val="20"/>
              </w:rPr>
              <w:t>Products</w:t>
            </w:r>
          </w:p>
        </w:tc>
        <w:tc>
          <w:tcPr>
            <w:tcW w:w="1298" w:type="dxa"/>
          </w:tcPr>
          <w:p w:rsidR="007C7BBE" w:rsidRPr="002B6629" w:rsidRDefault="007C7BBE" w:rsidP="002B6629">
            <w:pPr>
              <w:jc w:val="center"/>
              <w:rPr>
                <w:b/>
                <w:sz w:val="20"/>
                <w:szCs w:val="20"/>
              </w:rPr>
            </w:pPr>
            <w:r>
              <w:rPr>
                <w:b/>
                <w:sz w:val="20"/>
                <w:szCs w:val="20"/>
              </w:rPr>
              <w:t>Supply Chain Type</w:t>
            </w:r>
          </w:p>
        </w:tc>
        <w:tc>
          <w:tcPr>
            <w:tcW w:w="1298" w:type="dxa"/>
          </w:tcPr>
          <w:p w:rsidR="007C7BBE" w:rsidRPr="002B6629" w:rsidRDefault="007C7BBE" w:rsidP="002B6629">
            <w:pPr>
              <w:jc w:val="center"/>
              <w:rPr>
                <w:b/>
                <w:sz w:val="20"/>
                <w:szCs w:val="20"/>
              </w:rPr>
            </w:pPr>
            <w:r>
              <w:rPr>
                <w:b/>
                <w:sz w:val="20"/>
                <w:szCs w:val="20"/>
              </w:rPr>
              <w:t>Production Location</w:t>
            </w:r>
          </w:p>
        </w:tc>
        <w:tc>
          <w:tcPr>
            <w:tcW w:w="1115" w:type="dxa"/>
          </w:tcPr>
          <w:p w:rsidR="007C7BBE" w:rsidRPr="002B6629" w:rsidRDefault="007C7BBE" w:rsidP="007C7BBE">
            <w:pPr>
              <w:jc w:val="center"/>
              <w:rPr>
                <w:b/>
                <w:sz w:val="20"/>
                <w:szCs w:val="20"/>
              </w:rPr>
            </w:pPr>
            <w:r>
              <w:rPr>
                <w:b/>
                <w:sz w:val="20"/>
                <w:szCs w:val="20"/>
              </w:rPr>
              <w:t xml:space="preserve">Logistics </w:t>
            </w:r>
          </w:p>
        </w:tc>
        <w:tc>
          <w:tcPr>
            <w:tcW w:w="1667" w:type="dxa"/>
          </w:tcPr>
          <w:p w:rsidR="007C7BBE" w:rsidRDefault="007C7BBE" w:rsidP="002B6629">
            <w:pPr>
              <w:jc w:val="center"/>
              <w:rPr>
                <w:b/>
                <w:sz w:val="20"/>
                <w:szCs w:val="20"/>
              </w:rPr>
            </w:pPr>
            <w:r>
              <w:rPr>
                <w:b/>
                <w:sz w:val="20"/>
                <w:szCs w:val="20"/>
              </w:rPr>
              <w:t>Customers</w:t>
            </w:r>
          </w:p>
        </w:tc>
        <w:tc>
          <w:tcPr>
            <w:tcW w:w="1036" w:type="dxa"/>
          </w:tcPr>
          <w:p w:rsidR="007C7BBE" w:rsidRPr="002B6629" w:rsidRDefault="007C7BBE" w:rsidP="002B6629">
            <w:pPr>
              <w:jc w:val="center"/>
              <w:rPr>
                <w:b/>
                <w:sz w:val="20"/>
                <w:szCs w:val="20"/>
              </w:rPr>
            </w:pPr>
            <w:r>
              <w:rPr>
                <w:b/>
                <w:sz w:val="20"/>
                <w:szCs w:val="20"/>
              </w:rPr>
              <w:t>Priority</w:t>
            </w:r>
          </w:p>
        </w:tc>
      </w:tr>
      <w:tr w:rsidR="007C7BBE" w:rsidTr="007C7BBE">
        <w:trPr>
          <w:trHeight w:val="994"/>
        </w:trPr>
        <w:tc>
          <w:tcPr>
            <w:tcW w:w="940" w:type="dxa"/>
          </w:tcPr>
          <w:p w:rsidR="007C7BBE" w:rsidRPr="002B6629" w:rsidRDefault="007C7BBE" w:rsidP="002B6629">
            <w:pPr>
              <w:jc w:val="center"/>
              <w:rPr>
                <w:b/>
                <w:sz w:val="20"/>
                <w:szCs w:val="20"/>
              </w:rPr>
            </w:pPr>
            <w:r>
              <w:rPr>
                <w:b/>
                <w:sz w:val="20"/>
                <w:szCs w:val="20"/>
              </w:rPr>
              <w:t>A</w:t>
            </w:r>
          </w:p>
        </w:tc>
        <w:tc>
          <w:tcPr>
            <w:tcW w:w="1764" w:type="dxa"/>
          </w:tcPr>
          <w:p w:rsidR="007C7BBE" w:rsidRPr="002B6629" w:rsidRDefault="007C7BBE" w:rsidP="002B6629">
            <w:pPr>
              <w:rPr>
                <w:sz w:val="20"/>
                <w:szCs w:val="20"/>
              </w:rPr>
            </w:pPr>
            <w:r>
              <w:rPr>
                <w:sz w:val="20"/>
                <w:szCs w:val="20"/>
              </w:rPr>
              <w:t>Innovative e.g. in-ground &amp; high-end training products</w:t>
            </w:r>
          </w:p>
        </w:tc>
        <w:tc>
          <w:tcPr>
            <w:tcW w:w="1298" w:type="dxa"/>
          </w:tcPr>
          <w:p w:rsidR="007C7BBE" w:rsidRPr="002B6629" w:rsidRDefault="007C7BBE" w:rsidP="00DB50AF">
            <w:pPr>
              <w:rPr>
                <w:sz w:val="20"/>
                <w:szCs w:val="20"/>
              </w:rPr>
            </w:pPr>
            <w:r>
              <w:rPr>
                <w:sz w:val="20"/>
                <w:szCs w:val="20"/>
              </w:rPr>
              <w:t>Responsive</w:t>
            </w:r>
          </w:p>
        </w:tc>
        <w:tc>
          <w:tcPr>
            <w:tcW w:w="1298" w:type="dxa"/>
          </w:tcPr>
          <w:p w:rsidR="007C7BBE" w:rsidRPr="002B6629" w:rsidRDefault="007C7BBE" w:rsidP="00DB50AF">
            <w:pPr>
              <w:rPr>
                <w:sz w:val="20"/>
                <w:szCs w:val="20"/>
              </w:rPr>
            </w:pPr>
            <w:r>
              <w:rPr>
                <w:sz w:val="20"/>
                <w:szCs w:val="20"/>
              </w:rPr>
              <w:t>Mexico</w:t>
            </w:r>
          </w:p>
        </w:tc>
        <w:tc>
          <w:tcPr>
            <w:tcW w:w="1115" w:type="dxa"/>
          </w:tcPr>
          <w:p w:rsidR="007C7BBE" w:rsidRPr="002B6629" w:rsidRDefault="007C7BBE" w:rsidP="00DB50AF">
            <w:pPr>
              <w:rPr>
                <w:sz w:val="20"/>
                <w:szCs w:val="20"/>
              </w:rPr>
            </w:pPr>
            <w:r>
              <w:rPr>
                <w:sz w:val="20"/>
                <w:szCs w:val="20"/>
              </w:rPr>
              <w:t>Trucking</w:t>
            </w:r>
          </w:p>
        </w:tc>
        <w:tc>
          <w:tcPr>
            <w:tcW w:w="1667" w:type="dxa"/>
          </w:tcPr>
          <w:p w:rsidR="007C7BBE" w:rsidRDefault="007C7BBE" w:rsidP="00DB50AF">
            <w:pPr>
              <w:rPr>
                <w:sz w:val="20"/>
                <w:szCs w:val="20"/>
              </w:rPr>
            </w:pPr>
            <w:r>
              <w:rPr>
                <w:sz w:val="20"/>
                <w:szCs w:val="20"/>
              </w:rPr>
              <w:t>Mass merchants; online &amp; specialty outlets</w:t>
            </w:r>
          </w:p>
        </w:tc>
        <w:tc>
          <w:tcPr>
            <w:tcW w:w="1036" w:type="dxa"/>
          </w:tcPr>
          <w:p w:rsidR="007C7BBE" w:rsidRPr="002B6629" w:rsidRDefault="007C7BBE" w:rsidP="00DB50AF">
            <w:pPr>
              <w:rPr>
                <w:sz w:val="20"/>
                <w:szCs w:val="20"/>
              </w:rPr>
            </w:pPr>
            <w:r>
              <w:rPr>
                <w:sz w:val="20"/>
                <w:szCs w:val="20"/>
              </w:rPr>
              <w:t>High</w:t>
            </w:r>
          </w:p>
        </w:tc>
      </w:tr>
      <w:tr w:rsidR="007C7BBE" w:rsidTr="007C7BBE">
        <w:trPr>
          <w:trHeight w:val="66"/>
        </w:trPr>
        <w:tc>
          <w:tcPr>
            <w:tcW w:w="940" w:type="dxa"/>
          </w:tcPr>
          <w:p w:rsidR="007C7BBE" w:rsidRPr="002B6629" w:rsidRDefault="007C7BBE" w:rsidP="002B6629">
            <w:pPr>
              <w:jc w:val="center"/>
              <w:rPr>
                <w:b/>
                <w:sz w:val="20"/>
                <w:szCs w:val="20"/>
              </w:rPr>
            </w:pPr>
            <w:r>
              <w:rPr>
                <w:b/>
                <w:sz w:val="20"/>
                <w:szCs w:val="20"/>
              </w:rPr>
              <w:t>B</w:t>
            </w:r>
          </w:p>
        </w:tc>
        <w:tc>
          <w:tcPr>
            <w:tcW w:w="1764" w:type="dxa"/>
          </w:tcPr>
          <w:p w:rsidR="007C7BBE" w:rsidRPr="002B6629" w:rsidRDefault="007C7BBE" w:rsidP="00DB50AF">
            <w:pPr>
              <w:rPr>
                <w:sz w:val="20"/>
                <w:szCs w:val="20"/>
              </w:rPr>
            </w:pPr>
            <w:r>
              <w:rPr>
                <w:sz w:val="20"/>
                <w:szCs w:val="20"/>
              </w:rPr>
              <w:t>Low-end e.g. home collars</w:t>
            </w:r>
          </w:p>
        </w:tc>
        <w:tc>
          <w:tcPr>
            <w:tcW w:w="1298" w:type="dxa"/>
          </w:tcPr>
          <w:p w:rsidR="007C7BBE" w:rsidRPr="002B6629" w:rsidRDefault="007C7BBE" w:rsidP="00DB50AF">
            <w:pPr>
              <w:rPr>
                <w:sz w:val="20"/>
                <w:szCs w:val="20"/>
              </w:rPr>
            </w:pPr>
            <w:r>
              <w:rPr>
                <w:sz w:val="20"/>
                <w:szCs w:val="20"/>
              </w:rPr>
              <w:t>Efficient</w:t>
            </w:r>
          </w:p>
        </w:tc>
        <w:tc>
          <w:tcPr>
            <w:tcW w:w="1298" w:type="dxa"/>
          </w:tcPr>
          <w:p w:rsidR="007C7BBE" w:rsidRPr="002B6629" w:rsidRDefault="007C7BBE" w:rsidP="00DB50AF">
            <w:pPr>
              <w:rPr>
                <w:sz w:val="20"/>
                <w:szCs w:val="20"/>
              </w:rPr>
            </w:pPr>
            <w:r>
              <w:rPr>
                <w:sz w:val="20"/>
                <w:szCs w:val="20"/>
              </w:rPr>
              <w:t>Mexico</w:t>
            </w:r>
          </w:p>
        </w:tc>
        <w:tc>
          <w:tcPr>
            <w:tcW w:w="1115" w:type="dxa"/>
          </w:tcPr>
          <w:p w:rsidR="007C7BBE" w:rsidRPr="002B6629" w:rsidRDefault="007C7BBE" w:rsidP="00DB50AF">
            <w:pPr>
              <w:rPr>
                <w:sz w:val="20"/>
                <w:szCs w:val="20"/>
              </w:rPr>
            </w:pPr>
            <w:r>
              <w:rPr>
                <w:sz w:val="20"/>
                <w:szCs w:val="20"/>
              </w:rPr>
              <w:t>Rail</w:t>
            </w:r>
          </w:p>
        </w:tc>
        <w:tc>
          <w:tcPr>
            <w:tcW w:w="1667" w:type="dxa"/>
          </w:tcPr>
          <w:p w:rsidR="007C7BBE" w:rsidRDefault="007C7BBE" w:rsidP="00DB50AF">
            <w:pPr>
              <w:rPr>
                <w:sz w:val="20"/>
                <w:szCs w:val="20"/>
              </w:rPr>
            </w:pPr>
            <w:r>
              <w:rPr>
                <w:sz w:val="20"/>
                <w:szCs w:val="20"/>
              </w:rPr>
              <w:t>Online &amp; specialty outlets; franchisees</w:t>
            </w:r>
          </w:p>
        </w:tc>
        <w:tc>
          <w:tcPr>
            <w:tcW w:w="1036" w:type="dxa"/>
          </w:tcPr>
          <w:p w:rsidR="007C7BBE" w:rsidRPr="002B6629" w:rsidRDefault="007C7BBE" w:rsidP="00DB50AF">
            <w:pPr>
              <w:rPr>
                <w:sz w:val="20"/>
                <w:szCs w:val="20"/>
              </w:rPr>
            </w:pPr>
            <w:r>
              <w:rPr>
                <w:sz w:val="20"/>
                <w:szCs w:val="20"/>
              </w:rPr>
              <w:t>Low</w:t>
            </w:r>
          </w:p>
        </w:tc>
      </w:tr>
    </w:tbl>
    <w:p w:rsidR="002B6629" w:rsidRPr="002B6629" w:rsidRDefault="002B6629" w:rsidP="007C7BBE"/>
    <w:p w:rsidR="003A47DE" w:rsidRDefault="003A47DE" w:rsidP="00DB50AF"/>
    <w:p w:rsidR="00A67231" w:rsidRDefault="00A67231" w:rsidP="00DB50AF">
      <w:pPr>
        <w:rPr>
          <w:b/>
          <w:u w:val="single"/>
        </w:rPr>
      </w:pPr>
      <w:r>
        <w:rPr>
          <w:b/>
          <w:u w:val="single"/>
        </w:rPr>
        <w:lastRenderedPageBreak/>
        <w:t>The Case for Two Supply Chains</w:t>
      </w:r>
    </w:p>
    <w:p w:rsidR="00A67231" w:rsidRDefault="009479C6" w:rsidP="00DB50AF">
      <w:r>
        <w:t xml:space="preserve">We feel that </w:t>
      </w:r>
      <w:r w:rsidR="00685887">
        <w:t>when diving into the form and time needs as well as volume and volatility characteristics of our customers two separate patterns emerge.  Our low-end products are requested in higher volumes, lower variation, and shorter replenishment cycle times while innovative products have lower volumes, more variation, and longer replenishment cycle times.  Breaking the supply chain into three supply chains in pursuit of more specialization would present problems.  A supply chain for each customer may give more attention to those relationships but the online &amp; specialty outlet customers would be in a bind as their supply chain would simply be a miniature version of our current supply chain; it would need to produce all products subject to middle of the road volume and variation.  Four or more supply chains would have similar problems so it appears two is the best choice.</w:t>
      </w:r>
    </w:p>
    <w:p w:rsidR="00685887" w:rsidRDefault="00685887" w:rsidP="00DB50AF"/>
    <w:p w:rsidR="00685887" w:rsidRDefault="00685887" w:rsidP="00DB50AF">
      <w:pPr>
        <w:rPr>
          <w:b/>
          <w:u w:val="single"/>
        </w:rPr>
      </w:pPr>
      <w:r>
        <w:rPr>
          <w:b/>
          <w:u w:val="single"/>
        </w:rPr>
        <w:t>Our Solution</w:t>
      </w:r>
    </w:p>
    <w:p w:rsidR="00685887" w:rsidRDefault="00685887" w:rsidP="00DB50AF">
      <w:pPr>
        <w:rPr>
          <w:b/>
          <w:u w:val="single"/>
        </w:rPr>
      </w:pPr>
    </w:p>
    <w:p w:rsidR="00802493" w:rsidRDefault="00802493" w:rsidP="00DB50AF">
      <w:pPr>
        <w:rPr>
          <w:b/>
        </w:rPr>
      </w:pPr>
      <w:r>
        <w:rPr>
          <w:b/>
        </w:rPr>
        <w:t>Responsive vs. Efficient</w:t>
      </w:r>
    </w:p>
    <w:p w:rsidR="00802493" w:rsidRPr="00802493" w:rsidRDefault="00802493" w:rsidP="00DB50AF"/>
    <w:p w:rsidR="00802493" w:rsidRPr="00685887" w:rsidRDefault="00802493" w:rsidP="00DB50AF">
      <w:pPr>
        <w:rPr>
          <w:b/>
          <w:u w:val="single"/>
        </w:rPr>
      </w:pPr>
    </w:p>
    <w:p w:rsidR="003A47DE" w:rsidRPr="003A47DE" w:rsidRDefault="003A47DE" w:rsidP="00DB50AF">
      <w:pPr>
        <w:rPr>
          <w:b/>
        </w:rPr>
      </w:pPr>
      <w:r w:rsidRPr="003A47DE">
        <w:rPr>
          <w:b/>
        </w:rPr>
        <w:t>Sourcing/Procurement/Manufacturing</w:t>
      </w:r>
    </w:p>
    <w:p w:rsidR="003A47DE" w:rsidRDefault="003A47DE" w:rsidP="00DB50AF">
      <w:r>
        <w:t xml:space="preserve">Although these three functions are very different, ASI currently ties them together.  Recent complaints </w:t>
      </w:r>
      <w:r w:rsidR="007C7BBE">
        <w:t xml:space="preserve">in this area </w:t>
      </w:r>
      <w:r>
        <w:t>includ</w:t>
      </w:r>
      <w:r w:rsidR="007C7BBE">
        <w:t xml:space="preserve">e long lead times and rising COGS, </w:t>
      </w:r>
      <w:r>
        <w:t>not to mention high pipeline inventory.</w:t>
      </w:r>
    </w:p>
    <w:p w:rsidR="003A47DE" w:rsidRDefault="003A47DE" w:rsidP="00DB50AF">
      <w:r>
        <w:t xml:space="preserve">We believe </w:t>
      </w:r>
      <w:r w:rsidR="00494047">
        <w:t>that by moving all three functions to Mexico ASI can solve all of these problems</w:t>
      </w:r>
      <w:r>
        <w:t>.</w:t>
      </w:r>
      <w:r w:rsidR="00494047">
        <w:t xml:space="preserve">  Long lead times </w:t>
      </w:r>
      <w:r w:rsidR="007C7BBE">
        <w:t>could be reduced by as much as 4 weeks while cutting costs by $2,500 per 40ft. container according to</w:t>
      </w:r>
      <w:r w:rsidR="00494047">
        <w:t xml:space="preserve"> J.P. Morgan</w:t>
      </w:r>
      <w:r w:rsidR="00494047">
        <w:rPr>
          <w:rStyle w:val="FootnoteReference"/>
        </w:rPr>
        <w:footnoteReference w:id="1"/>
      </w:r>
      <w:r w:rsidR="00494047">
        <w:t>:</w:t>
      </w:r>
    </w:p>
    <w:p w:rsidR="00494047" w:rsidRDefault="00494047" w:rsidP="00DB50AF"/>
    <w:p w:rsidR="00494047" w:rsidRDefault="00494047" w:rsidP="00E94C2A">
      <w:pPr>
        <w:jc w:val="center"/>
      </w:pPr>
      <w:r w:rsidRPr="00494047">
        <w:drawing>
          <wp:inline distT="0" distB="0" distL="0" distR="0" wp14:anchorId="637A950E" wp14:editId="70B52083">
            <wp:extent cx="4606184" cy="1556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10 at 8.50.07 PM.png"/>
                    <pic:cNvPicPr/>
                  </pic:nvPicPr>
                  <pic:blipFill>
                    <a:blip r:embed="rId8">
                      <a:extLst>
                        <a:ext uri="{28A0092B-C50C-407E-A947-70E740481C1C}">
                          <a14:useLocalDpi xmlns:a14="http://schemas.microsoft.com/office/drawing/2010/main" val="0"/>
                        </a:ext>
                      </a:extLst>
                    </a:blip>
                    <a:stretch>
                      <a:fillRect/>
                    </a:stretch>
                  </pic:blipFill>
                  <pic:spPr>
                    <a:xfrm>
                      <a:off x="0" y="0"/>
                      <a:ext cx="4606184" cy="1556186"/>
                    </a:xfrm>
                    <a:prstGeom prst="rect">
                      <a:avLst/>
                    </a:prstGeom>
                  </pic:spPr>
                </pic:pic>
              </a:graphicData>
            </a:graphic>
          </wp:inline>
        </w:drawing>
      </w:r>
    </w:p>
    <w:p w:rsidR="00494047" w:rsidRDefault="00494047" w:rsidP="00DB50AF"/>
    <w:p w:rsidR="00494047" w:rsidRDefault="00A67231" w:rsidP="00DB50AF">
      <w:r>
        <w:t>Further, after adjusting for productivity</w:t>
      </w:r>
      <w:r w:rsidR="00494047">
        <w:t xml:space="preserve"> Mexico far out produces </w:t>
      </w:r>
      <w:r w:rsidR="00E94C2A">
        <w:t>China</w:t>
      </w:r>
      <w:r w:rsidR="00E94C2A">
        <w:rPr>
          <w:rStyle w:val="FootnoteReference"/>
        </w:rPr>
        <w:footnoteReference w:id="2"/>
      </w:r>
      <w:r w:rsidR="00E94C2A">
        <w:t>:</w:t>
      </w:r>
    </w:p>
    <w:p w:rsidR="00E94C2A" w:rsidRDefault="00E94C2A" w:rsidP="00DB50AF"/>
    <w:p w:rsidR="00E94C2A" w:rsidRDefault="00E94C2A" w:rsidP="00E94C2A">
      <w:pPr>
        <w:jc w:val="center"/>
      </w:pPr>
      <w:r>
        <w:rPr>
          <w:noProof/>
        </w:rPr>
        <w:drawing>
          <wp:inline distT="0" distB="0" distL="0" distR="0">
            <wp:extent cx="3947843" cy="1786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10 at 8.50.35 PM.png"/>
                    <pic:cNvPicPr/>
                  </pic:nvPicPr>
                  <pic:blipFill>
                    <a:blip r:embed="rId9">
                      <a:extLst>
                        <a:ext uri="{28A0092B-C50C-407E-A947-70E740481C1C}">
                          <a14:useLocalDpi xmlns:a14="http://schemas.microsoft.com/office/drawing/2010/main" val="0"/>
                        </a:ext>
                      </a:extLst>
                    </a:blip>
                    <a:stretch>
                      <a:fillRect/>
                    </a:stretch>
                  </pic:blipFill>
                  <pic:spPr>
                    <a:xfrm>
                      <a:off x="0" y="0"/>
                      <a:ext cx="3951385" cy="1787674"/>
                    </a:xfrm>
                    <a:prstGeom prst="rect">
                      <a:avLst/>
                    </a:prstGeom>
                  </pic:spPr>
                </pic:pic>
              </a:graphicData>
            </a:graphic>
          </wp:inline>
        </w:drawing>
      </w:r>
    </w:p>
    <w:p w:rsidR="00E94C2A" w:rsidRDefault="00E94C2A" w:rsidP="00E94C2A">
      <w:pPr>
        <w:jc w:val="center"/>
      </w:pPr>
    </w:p>
    <w:p w:rsidR="00E94C2A" w:rsidRDefault="00E94C2A" w:rsidP="00E94C2A">
      <w:r>
        <w:t xml:space="preserve">We expect this to reduce COGS, even if it turns out sourcing and procurement costs go up slightly. </w:t>
      </w:r>
      <w:r w:rsidR="00A67231">
        <w:t xml:space="preserve"> Thu</w:t>
      </w:r>
      <w:r>
        <w:t xml:space="preserve">s </w:t>
      </w:r>
      <w:r w:rsidR="00A67231">
        <w:t xml:space="preserve">this </w:t>
      </w:r>
      <w:r>
        <w:t>move to Mexico is a win-win and should be implemented in both supply chains going forward.</w:t>
      </w:r>
    </w:p>
    <w:p w:rsidR="00802493" w:rsidRDefault="00802493" w:rsidP="00E94C2A"/>
    <w:p w:rsidR="00802493" w:rsidRDefault="00802493" w:rsidP="00E94C2A">
      <w:pPr>
        <w:rPr>
          <w:b/>
        </w:rPr>
      </w:pPr>
      <w:r>
        <w:rPr>
          <w:b/>
        </w:rPr>
        <w:t>Logistics</w:t>
      </w:r>
    </w:p>
    <w:p w:rsidR="00A67231" w:rsidRDefault="00802493" w:rsidP="00E94C2A">
      <w:r>
        <w:t>Supply chain A</w:t>
      </w:r>
    </w:p>
    <w:p w:rsidR="00802493" w:rsidRDefault="00802493" w:rsidP="00E94C2A"/>
    <w:p w:rsidR="00802493" w:rsidRDefault="00802493" w:rsidP="00E94C2A">
      <w:pPr>
        <w:rPr>
          <w:b/>
        </w:rPr>
      </w:pPr>
      <w:r>
        <w:rPr>
          <w:b/>
        </w:rPr>
        <w:t>Warehousing</w:t>
      </w:r>
    </w:p>
    <w:p w:rsidR="00802493" w:rsidRDefault="00802493" w:rsidP="00E94C2A">
      <w:pPr>
        <w:rPr>
          <w:b/>
        </w:rPr>
      </w:pPr>
    </w:p>
    <w:p w:rsidR="00802493" w:rsidRDefault="00802493" w:rsidP="00E94C2A">
      <w:pPr>
        <w:rPr>
          <w:b/>
        </w:rPr>
      </w:pPr>
      <w:r>
        <w:rPr>
          <w:b/>
        </w:rPr>
        <w:t>Outbound Logistics</w:t>
      </w:r>
    </w:p>
    <w:p w:rsidR="00802493" w:rsidRDefault="00802493" w:rsidP="00E94C2A">
      <w:pPr>
        <w:rPr>
          <w:b/>
        </w:rPr>
      </w:pPr>
    </w:p>
    <w:p w:rsidR="00802493" w:rsidRPr="00802493" w:rsidRDefault="00802493" w:rsidP="00E94C2A">
      <w:pPr>
        <w:rPr>
          <w:b/>
        </w:rPr>
      </w:pPr>
      <w:r>
        <w:rPr>
          <w:b/>
        </w:rPr>
        <w:t>Service Level Targets</w:t>
      </w:r>
    </w:p>
    <w:p w:rsidR="00802493" w:rsidRDefault="00802493" w:rsidP="00E94C2A"/>
    <w:p w:rsidR="00A67231" w:rsidRDefault="00A67231" w:rsidP="00E94C2A">
      <w:r>
        <w:rPr>
          <w:b/>
          <w:u w:val="single"/>
        </w:rPr>
        <w:t>Other Considerations</w:t>
      </w:r>
    </w:p>
    <w:p w:rsidR="00A67231" w:rsidRDefault="00A67231" w:rsidP="00E94C2A">
      <w:r>
        <w:t>We realize that moving production facilities is no easy task.  As an immediate remedy to our lead times or in the case moving is not feasible at this time, we recommend working with our Chinese manufacturers to move raw materials in-bound before we place orders with them.</w:t>
      </w:r>
    </w:p>
    <w:p w:rsidR="00685887" w:rsidRDefault="00685887" w:rsidP="00E94C2A"/>
    <w:p w:rsidR="00685887" w:rsidRDefault="00685887" w:rsidP="00E94C2A">
      <w:r>
        <w:t>ASI should consider licensing, selling</w:t>
      </w:r>
      <w:r w:rsidR="00802493">
        <w:t xml:space="preserve"> off, or shutting down it</w:t>
      </w:r>
      <w:r>
        <w:t>s low-end products.</w:t>
      </w:r>
    </w:p>
    <w:p w:rsidR="00802493" w:rsidRDefault="00802493" w:rsidP="00E94C2A"/>
    <w:p w:rsidR="00802493" w:rsidRDefault="00802493" w:rsidP="00E94C2A">
      <w:r>
        <w:t>Consider helping franchisees reduce inventory and capturing some of that value</w:t>
      </w:r>
    </w:p>
    <w:p w:rsidR="00802493" w:rsidRDefault="00802493" w:rsidP="00E94C2A"/>
    <w:p w:rsidR="00802493" w:rsidRPr="00A67231" w:rsidRDefault="00802493" w:rsidP="00E94C2A">
      <w:r>
        <w:t>Beware bullwhip effect from franchisees</w:t>
      </w:r>
      <w:bookmarkStart w:id="0" w:name="_GoBack"/>
      <w:bookmarkEnd w:id="0"/>
    </w:p>
    <w:sectPr w:rsidR="00802493" w:rsidRPr="00A67231" w:rsidSect="00DE0B82">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887" w:rsidRDefault="00685887" w:rsidP="00494047">
      <w:r>
        <w:separator/>
      </w:r>
    </w:p>
  </w:endnote>
  <w:endnote w:type="continuationSeparator" w:id="0">
    <w:p w:rsidR="00685887" w:rsidRDefault="00685887" w:rsidP="0049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887" w:rsidRDefault="00685887" w:rsidP="00494047">
      <w:r>
        <w:separator/>
      </w:r>
    </w:p>
  </w:footnote>
  <w:footnote w:type="continuationSeparator" w:id="0">
    <w:p w:rsidR="00685887" w:rsidRDefault="00685887" w:rsidP="00494047">
      <w:r>
        <w:continuationSeparator/>
      </w:r>
    </w:p>
  </w:footnote>
  <w:footnote w:id="1">
    <w:p w:rsidR="00685887" w:rsidRDefault="00685887">
      <w:pPr>
        <w:pStyle w:val="FootnoteText"/>
      </w:pPr>
      <w:r>
        <w:rPr>
          <w:rStyle w:val="FootnoteReference"/>
        </w:rPr>
        <w:footnoteRef/>
      </w:r>
      <w:r>
        <w:t xml:space="preserve"> </w:t>
      </w:r>
      <w:r w:rsidR="00802493" w:rsidRPr="00802493">
        <w:rPr>
          <w:sz w:val="16"/>
          <w:szCs w:val="16"/>
        </w:rPr>
        <w:t>https://www.chase.com/content/dam/chasecom/en/commercial-bank/documents/china-vs-mexico-infographic.pdf</w:t>
      </w:r>
    </w:p>
  </w:footnote>
  <w:footnote w:id="2">
    <w:p w:rsidR="00685887" w:rsidRDefault="00685887">
      <w:pPr>
        <w:pStyle w:val="FootnoteText"/>
      </w:pPr>
      <w:r>
        <w:rPr>
          <w:rStyle w:val="FootnoteReference"/>
        </w:rPr>
        <w:footnoteRef/>
      </w:r>
      <w:r>
        <w:t xml:space="preserve"> </w:t>
      </w:r>
      <w:r w:rsidR="00802493" w:rsidRPr="00802493">
        <w:rPr>
          <w:sz w:val="16"/>
          <w:szCs w:val="16"/>
        </w:rPr>
        <w:t>http://qz.com/538056/the-country-china-outsources-to-when-chinese-labor-gets-too-expensive/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887" w:rsidRDefault="00685887">
    <w:pPr>
      <w:pStyle w:val="Header"/>
    </w:pPr>
    <w:r>
      <w:t>Zach Hethmon</w:t>
    </w:r>
    <w:r>
      <w:tab/>
      <w:t>SCM 505</w:t>
    </w:r>
    <w:r>
      <w:tab/>
      <w:t>2/10/16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44980"/>
    <w:multiLevelType w:val="hybridMultilevel"/>
    <w:tmpl w:val="D20E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AF"/>
    <w:rsid w:val="002B6629"/>
    <w:rsid w:val="003A47DE"/>
    <w:rsid w:val="0044665F"/>
    <w:rsid w:val="00494047"/>
    <w:rsid w:val="00685887"/>
    <w:rsid w:val="007C7A60"/>
    <w:rsid w:val="007C7BBE"/>
    <w:rsid w:val="00802493"/>
    <w:rsid w:val="008761F8"/>
    <w:rsid w:val="009479C6"/>
    <w:rsid w:val="00A67231"/>
    <w:rsid w:val="00DB50AF"/>
    <w:rsid w:val="00DE0B82"/>
    <w:rsid w:val="00E23094"/>
    <w:rsid w:val="00E94C2A"/>
    <w:rsid w:val="00F97E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0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0AF"/>
    <w:pPr>
      <w:ind w:left="720"/>
      <w:contextualSpacing/>
    </w:pPr>
  </w:style>
  <w:style w:type="table" w:styleId="TableGrid">
    <w:name w:val="Table Grid"/>
    <w:basedOn w:val="TableNormal"/>
    <w:uiPriority w:val="59"/>
    <w:rsid w:val="00DB50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40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047"/>
    <w:rPr>
      <w:rFonts w:ascii="Lucida Grande" w:hAnsi="Lucida Grande" w:cs="Lucida Grande"/>
      <w:sz w:val="18"/>
      <w:szCs w:val="18"/>
    </w:rPr>
  </w:style>
  <w:style w:type="paragraph" w:styleId="FootnoteText">
    <w:name w:val="footnote text"/>
    <w:basedOn w:val="Normal"/>
    <w:link w:val="FootnoteTextChar"/>
    <w:uiPriority w:val="99"/>
    <w:unhideWhenUsed/>
    <w:rsid w:val="00494047"/>
  </w:style>
  <w:style w:type="character" w:customStyle="1" w:styleId="FootnoteTextChar">
    <w:name w:val="Footnote Text Char"/>
    <w:basedOn w:val="DefaultParagraphFont"/>
    <w:link w:val="FootnoteText"/>
    <w:uiPriority w:val="99"/>
    <w:rsid w:val="00494047"/>
  </w:style>
  <w:style w:type="character" w:styleId="FootnoteReference">
    <w:name w:val="footnote reference"/>
    <w:basedOn w:val="DefaultParagraphFont"/>
    <w:uiPriority w:val="99"/>
    <w:unhideWhenUsed/>
    <w:rsid w:val="00494047"/>
    <w:rPr>
      <w:vertAlign w:val="superscript"/>
    </w:rPr>
  </w:style>
  <w:style w:type="paragraph" w:styleId="Header">
    <w:name w:val="header"/>
    <w:basedOn w:val="Normal"/>
    <w:link w:val="HeaderChar"/>
    <w:uiPriority w:val="99"/>
    <w:unhideWhenUsed/>
    <w:rsid w:val="00E94C2A"/>
    <w:pPr>
      <w:tabs>
        <w:tab w:val="center" w:pos="4320"/>
        <w:tab w:val="right" w:pos="8640"/>
      </w:tabs>
    </w:pPr>
  </w:style>
  <w:style w:type="character" w:customStyle="1" w:styleId="HeaderChar">
    <w:name w:val="Header Char"/>
    <w:basedOn w:val="DefaultParagraphFont"/>
    <w:link w:val="Header"/>
    <w:uiPriority w:val="99"/>
    <w:rsid w:val="00E94C2A"/>
  </w:style>
  <w:style w:type="paragraph" w:styleId="Footer">
    <w:name w:val="footer"/>
    <w:basedOn w:val="Normal"/>
    <w:link w:val="FooterChar"/>
    <w:uiPriority w:val="99"/>
    <w:unhideWhenUsed/>
    <w:rsid w:val="00E94C2A"/>
    <w:pPr>
      <w:tabs>
        <w:tab w:val="center" w:pos="4320"/>
        <w:tab w:val="right" w:pos="8640"/>
      </w:tabs>
    </w:pPr>
  </w:style>
  <w:style w:type="character" w:customStyle="1" w:styleId="FooterChar">
    <w:name w:val="Footer Char"/>
    <w:basedOn w:val="DefaultParagraphFont"/>
    <w:link w:val="Footer"/>
    <w:uiPriority w:val="99"/>
    <w:rsid w:val="00E94C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0AF"/>
    <w:pPr>
      <w:ind w:left="720"/>
      <w:contextualSpacing/>
    </w:pPr>
  </w:style>
  <w:style w:type="table" w:styleId="TableGrid">
    <w:name w:val="Table Grid"/>
    <w:basedOn w:val="TableNormal"/>
    <w:uiPriority w:val="59"/>
    <w:rsid w:val="00DB50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40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047"/>
    <w:rPr>
      <w:rFonts w:ascii="Lucida Grande" w:hAnsi="Lucida Grande" w:cs="Lucida Grande"/>
      <w:sz w:val="18"/>
      <w:szCs w:val="18"/>
    </w:rPr>
  </w:style>
  <w:style w:type="paragraph" w:styleId="FootnoteText">
    <w:name w:val="footnote text"/>
    <w:basedOn w:val="Normal"/>
    <w:link w:val="FootnoteTextChar"/>
    <w:uiPriority w:val="99"/>
    <w:unhideWhenUsed/>
    <w:rsid w:val="00494047"/>
  </w:style>
  <w:style w:type="character" w:customStyle="1" w:styleId="FootnoteTextChar">
    <w:name w:val="Footnote Text Char"/>
    <w:basedOn w:val="DefaultParagraphFont"/>
    <w:link w:val="FootnoteText"/>
    <w:uiPriority w:val="99"/>
    <w:rsid w:val="00494047"/>
  </w:style>
  <w:style w:type="character" w:styleId="FootnoteReference">
    <w:name w:val="footnote reference"/>
    <w:basedOn w:val="DefaultParagraphFont"/>
    <w:uiPriority w:val="99"/>
    <w:unhideWhenUsed/>
    <w:rsid w:val="00494047"/>
    <w:rPr>
      <w:vertAlign w:val="superscript"/>
    </w:rPr>
  </w:style>
  <w:style w:type="paragraph" w:styleId="Header">
    <w:name w:val="header"/>
    <w:basedOn w:val="Normal"/>
    <w:link w:val="HeaderChar"/>
    <w:uiPriority w:val="99"/>
    <w:unhideWhenUsed/>
    <w:rsid w:val="00E94C2A"/>
    <w:pPr>
      <w:tabs>
        <w:tab w:val="center" w:pos="4320"/>
        <w:tab w:val="right" w:pos="8640"/>
      </w:tabs>
    </w:pPr>
  </w:style>
  <w:style w:type="character" w:customStyle="1" w:styleId="HeaderChar">
    <w:name w:val="Header Char"/>
    <w:basedOn w:val="DefaultParagraphFont"/>
    <w:link w:val="Header"/>
    <w:uiPriority w:val="99"/>
    <w:rsid w:val="00E94C2A"/>
  </w:style>
  <w:style w:type="paragraph" w:styleId="Footer">
    <w:name w:val="footer"/>
    <w:basedOn w:val="Normal"/>
    <w:link w:val="FooterChar"/>
    <w:uiPriority w:val="99"/>
    <w:unhideWhenUsed/>
    <w:rsid w:val="00E94C2A"/>
    <w:pPr>
      <w:tabs>
        <w:tab w:val="center" w:pos="4320"/>
        <w:tab w:val="right" w:pos="8640"/>
      </w:tabs>
    </w:pPr>
  </w:style>
  <w:style w:type="character" w:customStyle="1" w:styleId="FooterChar">
    <w:name w:val="Footer Char"/>
    <w:basedOn w:val="DefaultParagraphFont"/>
    <w:link w:val="Footer"/>
    <w:uiPriority w:val="99"/>
    <w:rsid w:val="00E94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619</Words>
  <Characters>3533</Characters>
  <Application>Microsoft Macintosh Word</Application>
  <DocSecurity>0</DocSecurity>
  <Lines>29</Lines>
  <Paragraphs>8</Paragraphs>
  <ScaleCrop>false</ScaleCrop>
  <Company>University of Tennessee</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Hethmon</dc:creator>
  <cp:keywords/>
  <dc:description/>
  <cp:lastModifiedBy>Zach Hethmon</cp:lastModifiedBy>
  <cp:revision>1</cp:revision>
  <dcterms:created xsi:type="dcterms:W3CDTF">2016-02-10T23:37:00Z</dcterms:created>
  <dcterms:modified xsi:type="dcterms:W3CDTF">2016-02-11T03:36:00Z</dcterms:modified>
</cp:coreProperties>
</file>