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Yu Gothic" w:hAnsi="Yu Gothic" w:eastAsia="Yu Gothic"/>
          <w:b/>
          <w:color w:val="1F4E79"/>
          <w:sz w:val="36"/>
        </w:rPr>
        <w:t>競合吸着反応のモデル化のご紹介</w:t>
      </w:r>
    </w:p>
    <w:p>
      <w:pPr>
        <w:jc w:val="center"/>
      </w:pPr>
      <w:r>
        <w:rPr>
          <w:rFonts w:ascii="Yu Gothic" w:hAnsi="Yu Gothic" w:eastAsia="Yu Gothic"/>
          <w:sz w:val="24"/>
        </w:rPr>
        <w:t>発表原稿（スライド照合・訂正版）</w:t>
        <w:br/>
        <w:t>2026_08_03 / rev1</w:t>
      </w:r>
    </w:p>
    <w:p>
      <w:pPr>
        <w:jc w:val="center"/>
      </w:pPr>
      <w:r>
        <w:rPr>
          <w:rFonts w:ascii="Yu Gothic" w:hAnsi="Yu Gothic" w:eastAsia="Yu Gothic"/>
          <w:sz w:val="20"/>
        </w:rPr>
        <w:t>発表者：王 者興</w:t>
        <w:br/>
        <w:t>横河ソリューションサービス株式会社</w:t>
        <w:br/>
        <w:t>マーケティング＆デジタル戦略本部 新事業開発推進部</w:t>
        <w:br/>
        <w:t>文書番号：MKDS_BDD1-26-A-003</w:t>
      </w:r>
    </w:p>
    <w:p>
      <w:pPr>
        <w:pStyle w:val="Heading1"/>
      </w:pPr>
      <w:r>
        <w:rPr>
          <w:rFonts w:ascii="Yu Gothic" w:hAnsi="Yu Gothic" w:eastAsia="Yu Gothic"/>
          <w:color w:val="1F4E79"/>
        </w:rPr>
        <w:t>訂正方針</w:t>
      </w:r>
    </w:p>
    <w:p>
      <w:pPr>
        <w:spacing w:after="120" w:line="324" w:lineRule="auto"/>
      </w:pPr>
      <w:r>
        <w:rPr>
          <w:rFonts w:ascii="Yu Gothic" w:hAnsi="Yu Gothic" w:eastAsia="Yu Gothic"/>
          <w:b w:val="0"/>
          <w:i w:val="0"/>
          <w:sz w:val="22"/>
        </w:rPr>
        <w:t>本原稿は、アップロードされた発表スライド（rev0, 44枚）と照合し、スライド記載の事実・数値・論点と食い違う箇所、説明不足の箇所を中心に訂正したものです。口頭発表用として、スライドを補足しつつ自然に話せる文量に調整しています。</w:t>
      </w:r>
    </w:p>
    <w:p>
      <w:pPr>
        <w:pStyle w:val="Heading1"/>
      </w:pPr>
      <w:r>
        <w:rPr>
          <w:rFonts w:ascii="Yu Gothic" w:hAnsi="Yu Gothic" w:eastAsia="Yu Gothic"/>
          <w:color w:val="1F4E79"/>
        </w:rPr>
        <w:t>主な訂正点（要約）</w:t>
      </w:r>
    </w:p>
    <w:p>
      <w:pPr>
        <w:pStyle w:val="ListBullet"/>
      </w:pPr>
      <w:r>
        <w:rPr>
          <w:rFonts w:ascii="Yu Gothic" w:hAnsi="Yu Gothic" w:eastAsia="Yu Gothic"/>
          <w:sz w:val="20"/>
        </w:rPr>
        <w:t>スライド10：評価指標の表記を「平均絶対誤差（RMSE）」から「二乗平均平方根誤差（RMSE）」に修正。</w:t>
      </w:r>
    </w:p>
    <w:p>
      <w:pPr>
        <w:pStyle w:val="ListBullet"/>
      </w:pPr>
      <w:r>
        <w:rPr>
          <w:rFonts w:ascii="Yu Gothic" w:hAnsi="Yu Gothic" w:eastAsia="Yu Gothic"/>
          <w:sz w:val="20"/>
        </w:rPr>
        <w:t>スライド15：R004Bは出口分析値が少ないためR004Aモデルを使用する点を追記。</w:t>
      </w:r>
    </w:p>
    <w:p>
      <w:pPr>
        <w:pStyle w:val="ListBullet"/>
      </w:pPr>
      <w:r>
        <w:rPr>
          <w:rFonts w:ascii="Yu Gothic" w:hAnsi="Yu Gothic" w:eastAsia="Yu Gothic"/>
          <w:sz w:val="20"/>
        </w:rPr>
        <w:t>スライド16：単ロット学習＝妥当性確認、複数ロット学習＝汎用性確認、という整理を明確化。</w:t>
      </w:r>
    </w:p>
    <w:p>
      <w:pPr>
        <w:pStyle w:val="ListBullet"/>
      </w:pPr>
      <w:r>
        <w:rPr>
          <w:rFonts w:ascii="Yu Gothic" w:hAnsi="Yu Gothic" w:eastAsia="Yu Gothic"/>
          <w:sz w:val="20"/>
        </w:rPr>
        <w:t>スライド17–18：R004AにおけるVEγ立ち上がり部の乖離、複数ロット時のVEα追従性低下とVEγ改善を追記。</w:t>
      </w:r>
    </w:p>
    <w:p>
      <w:pPr>
        <w:pStyle w:val="ListBullet"/>
      </w:pPr>
      <w:r>
        <w:rPr>
          <w:rFonts w:ascii="Yu Gothic" w:hAnsi="Yu Gothic" w:eastAsia="Yu Gothic"/>
          <w:sz w:val="20"/>
        </w:rPr>
        <w:t>スライド19：運転時間420分を約100分延長、という具体値を追記。</w:t>
      </w:r>
    </w:p>
    <w:p>
      <w:pPr>
        <w:pStyle w:val="ListBullet"/>
      </w:pPr>
      <w:r>
        <w:rPr>
          <w:rFonts w:ascii="Yu Gothic" w:hAnsi="Yu Gothic" w:eastAsia="Yu Gothic"/>
          <w:sz w:val="20"/>
        </w:rPr>
        <w:t>スライド20：R004AはESX004以降安定、R003はESX012で回復しESX013/014でも安定と推定、に具体化。</w:t>
      </w:r>
    </w:p>
    <w:p>
      <w:pPr>
        <w:pStyle w:val="ListBullet"/>
      </w:pPr>
      <w:r>
        <w:rPr>
          <w:rFonts w:ascii="Yu Gothic" w:hAnsi="Yu Gothic" w:eastAsia="Yu Gothic"/>
          <w:sz w:val="20"/>
        </w:rPr>
        <w:t>スライド21：活用価値（運転効率・稼働率・品質安定、原料切替時の事前予測）を追記。</w:t>
      </w:r>
    </w:p>
    <w:p>
      <w:pPr>
        <w:pStyle w:val="ListBullet"/>
      </w:pPr>
      <w:r>
        <w:rPr>
          <w:rFonts w:ascii="Yu Gothic" w:hAnsi="Yu Gothic" w:eastAsia="Yu Gothic"/>
          <w:sz w:val="20"/>
        </w:rPr>
        <w:t>スライド22–23：VEオーバーシュート未再現、未考慮成分仮説、論文値固定による限界を追記。</w:t>
      </w:r>
    </w:p>
    <w:p>
      <w:pPr>
        <w:pStyle w:val="ListBullet"/>
      </w:pPr>
      <w:r>
        <w:rPr>
          <w:rFonts w:ascii="Yu Gothic" w:hAnsi="Yu Gothic" w:eastAsia="Yu Gothic"/>
          <w:sz w:val="20"/>
        </w:rPr>
        <w:t>スライド25：原料組成（FAEE約35%、エタノール約25%、水分約3%等）と平衡移動の説明を追記。</w:t>
      </w:r>
    </w:p>
    <w:p>
      <w:pPr>
        <w:pStyle w:val="ListBullet"/>
      </w:pPr>
      <w:r>
        <w:rPr>
          <w:rFonts w:ascii="Yu Gothic" w:hAnsi="Yu Gothic" w:eastAsia="Yu Gothic"/>
          <w:sz w:val="20"/>
        </w:rPr>
        <w:t>スライド26：第1段階（加水分解のみ）／第2段階（可逆反応）の二段構えを明記。</w:t>
      </w:r>
    </w:p>
    <w:p>
      <w:pPr>
        <w:pStyle w:val="ListBullet"/>
      </w:pPr>
      <w:r>
        <w:rPr>
          <w:rFonts w:ascii="Yu Gothic" w:hAnsi="Yu Gothic" w:eastAsia="Yu Gothic"/>
          <w:sz w:val="20"/>
        </w:rPr>
        <w:t>スライド27：7月24日の加藤さん打合せ内容を具体化。</w:t>
      </w:r>
    </w:p>
    <w:p>
      <w:pPr>
        <w:pStyle w:val="ListBullet"/>
      </w:pPr>
      <w:r>
        <w:rPr>
          <w:rFonts w:ascii="Yu Gothic" w:hAnsi="Yu Gothic" w:eastAsia="Yu Gothic"/>
          <w:sz w:val="20"/>
        </w:rPr>
        <w:t>スライド29–31：仮説A（空隙率変化）／仮説B（表面変化・ファウリング）の整理をスライドに合わせて充実。</w:t>
      </w:r>
    </w:p>
    <w:p>
      <w:pPr>
        <w:pStyle w:val="ListBullet"/>
      </w:pPr>
      <w:r>
        <w:rPr>
          <w:rFonts w:ascii="Yu Gothic" w:hAnsi="Yu Gothic" w:eastAsia="Yu Gothic"/>
          <w:sz w:val="20"/>
        </w:rPr>
        <w:t>スライド33：質問リストをスライド記載どおりに具体化。</w:t>
      </w:r>
    </w:p>
    <w:p>
      <w:pPr>
        <w:pStyle w:val="ListBullet"/>
      </w:pPr>
      <w:r>
        <w:rPr>
          <w:rFonts w:ascii="Yu Gothic" w:hAnsi="Yu Gothic" w:eastAsia="Yu Gothic"/>
          <w:sz w:val="20"/>
        </w:rPr>
        <w:t>スライド35：自己紹介を開会時用として追加（任意）。</w:t>
      </w:r>
    </w:p>
    <w:p>
      <w:pPr>
        <w:pStyle w:val="Heading1"/>
      </w:pPr>
      <w:r>
        <w:rPr>
          <w:rFonts w:ascii="Yu Gothic" w:hAnsi="Yu Gothic" w:eastAsia="Yu Gothic"/>
          <w:color w:val="1F4E79"/>
        </w:rPr>
        <w:t>訂正後の発表原稿</w:t>
      </w:r>
    </w:p>
    <w:p>
      <w:pPr>
        <w:pStyle w:val="Heading2"/>
      </w:pPr>
      <w:r>
        <w:rPr>
          <w:rFonts w:ascii="Yu Gothic" w:hAnsi="Yu Gothic" w:eastAsia="Yu Gothic"/>
          <w:color w:val="1F4E79"/>
        </w:rPr>
        <w:t>スライド 35（任意・開会時）　自己紹介</w:t>
      </w:r>
    </w:p>
    <w:p>
      <w:pPr>
        <w:spacing w:after="120" w:line="324" w:lineRule="auto"/>
      </w:pPr>
      <w:r>
        <w:rPr>
          <w:rFonts w:ascii="Yu Gothic" w:hAnsi="Yu Gothic" w:eastAsia="Yu Gothic"/>
          <w:b w:val="0"/>
          <w:i w:val="0"/>
          <w:sz w:val="22"/>
        </w:rPr>
        <w:t>改めまして、横河ソリューションサービス、新事業開発推進部の王者興です。出身は中国・西安で、かつて長安と呼ばれた都市です。2011年に材料科学を専攻して大学を卒業した後に来日し、日本語学校で2年学んだのち、福岡大学大学院工学研究科で化学工学・プロセスシステム工学を専攻し、野田賢教授のもとで博士号を取得しました。2018年に横河電機へ入社し、イノベーションセンターに所属しました。PCP様とのご縁は2023年後半からの協業が始まりで、2025年に横河ソリューションサービスへ転籍しております。本日はどうぞよろしくお願いいたします。</w:t>
      </w:r>
    </w:p>
    <w:p>
      <w:pPr>
        <w:spacing w:after="200"/>
      </w:pPr>
      <w:r>
        <w:rPr>
          <w:rFonts w:ascii="Yu Gothic" w:hAnsi="Yu Gothic" w:eastAsia="Yu Gothic"/>
          <w:i/>
          <w:color w:val="666666"/>
          <w:sz w:val="18"/>
        </w:rPr>
        <w:t>【訂正メモ】本体スライドでは末尾配置ですが、開会時に使う想定で原稿先頭へ追加。</w:t>
      </w:r>
    </w:p>
    <w:p>
      <w:pPr>
        <w:pStyle w:val="Heading2"/>
      </w:pPr>
      <w:r>
        <w:rPr>
          <w:rFonts w:ascii="Yu Gothic" w:hAnsi="Yu Gothic" w:eastAsia="Yu Gothic"/>
          <w:color w:val="1F4E79"/>
        </w:rPr>
        <w:t>スライド 1　表紙</w:t>
      </w:r>
    </w:p>
    <w:p>
      <w:pPr>
        <w:spacing w:after="120" w:line="324" w:lineRule="auto"/>
      </w:pPr>
      <w:r>
        <w:rPr>
          <w:rFonts w:ascii="Yu Gothic" w:hAnsi="Yu Gothic" w:eastAsia="Yu Gothic"/>
          <w:b w:val="0"/>
          <w:i w:val="0"/>
          <w:sz w:val="22"/>
        </w:rPr>
        <w:t>本日は、競合吸着反応のモデル化についてご紹介します。未利用油精製プロセスを対象に、競合吸着モデルの構築結果と、今後の活用可能性について説明します。</w:t>
      </w:r>
    </w:p>
    <w:p>
      <w:pPr>
        <w:pStyle w:val="Heading2"/>
      </w:pPr>
      <w:r>
        <w:rPr>
          <w:rFonts w:ascii="Yu Gothic" w:hAnsi="Yu Gothic" w:eastAsia="Yu Gothic"/>
          <w:color w:val="1F4E79"/>
        </w:rPr>
        <w:t>スライド 2　目次</w:t>
      </w:r>
    </w:p>
    <w:p>
      <w:pPr>
        <w:spacing w:after="120" w:line="324" w:lineRule="auto"/>
      </w:pPr>
      <w:r>
        <w:rPr>
          <w:rFonts w:ascii="Yu Gothic" w:hAnsi="Yu Gothic" w:eastAsia="Yu Gothic"/>
          <w:b w:val="0"/>
          <w:i w:val="0"/>
          <w:sz w:val="22"/>
        </w:rPr>
        <w:t>本日の説明は、次の順で進めます。第一に背景、第二に競合吸着反応のモデル化、第三にシミュレーション結果と考察、第四に樹脂性能変化の仮説、最後に質問リストです。</w:t>
      </w:r>
    </w:p>
    <w:p>
      <w:pPr>
        <w:pStyle w:val="Heading2"/>
      </w:pPr>
      <w:r>
        <w:rPr>
          <w:rFonts w:ascii="Yu Gothic" w:hAnsi="Yu Gothic" w:eastAsia="Yu Gothic"/>
          <w:color w:val="1F4E79"/>
        </w:rPr>
        <w:t>スライド 3　背景（セクション表紙）</w:t>
      </w:r>
    </w:p>
    <w:p>
      <w:pPr>
        <w:spacing w:after="120" w:line="324" w:lineRule="auto"/>
      </w:pPr>
      <w:r>
        <w:rPr>
          <w:rFonts w:ascii="Yu Gothic" w:hAnsi="Yu Gothic" w:eastAsia="Yu Gothic"/>
          <w:b w:val="0"/>
          <w:i w:val="0"/>
          <w:sz w:val="22"/>
        </w:rPr>
        <w:t>まず背景です。自動化から自律化、さらには商用展開に向けて、プロセス挙動を予測できるモデルの整備が重要になっています。</w:t>
      </w:r>
    </w:p>
    <w:p>
      <w:pPr>
        <w:pStyle w:val="Heading2"/>
      </w:pPr>
      <w:r>
        <w:rPr>
          <w:rFonts w:ascii="Yu Gothic" w:hAnsi="Yu Gothic" w:eastAsia="Yu Gothic"/>
          <w:color w:val="1F4E79"/>
        </w:rPr>
        <w:t>スライド 4　制御導入の流れ（案）</w:t>
      </w:r>
    </w:p>
    <w:p>
      <w:pPr>
        <w:spacing w:after="120" w:line="324" w:lineRule="auto"/>
      </w:pPr>
      <w:r>
        <w:rPr>
          <w:rFonts w:ascii="Yu Gothic" w:hAnsi="Yu Gothic" w:eastAsia="Yu Gothic"/>
          <w:b w:val="0"/>
          <w:i w:val="0"/>
          <w:sz w:val="22"/>
        </w:rPr>
        <w:t>制御導入の全体ロードマップです。パイロットプラントでの手動ベース運転から始め、工程運転の自動化、工程計画と連携した自律化へと段階的に発展させ、最終的には商用展開を目指します。吸着・脱離・エステル化などを含むプロセスモデルは、その中核技術として位置付けています。</w:t>
      </w:r>
    </w:p>
    <w:p>
      <w:pPr>
        <w:pStyle w:val="Heading2"/>
      </w:pPr>
      <w:r>
        <w:rPr>
          <w:rFonts w:ascii="Yu Gothic" w:hAnsi="Yu Gothic" w:eastAsia="Yu Gothic"/>
          <w:color w:val="1F4E79"/>
        </w:rPr>
        <w:t>スライド 5　モデル利活用のイメージ図</w:t>
      </w:r>
    </w:p>
    <w:p>
      <w:pPr>
        <w:spacing w:after="120" w:line="324" w:lineRule="auto"/>
      </w:pPr>
      <w:r>
        <w:rPr>
          <w:rFonts w:ascii="Yu Gothic" w:hAnsi="Yu Gothic" w:eastAsia="Yu Gothic"/>
          <w:b w:val="0"/>
          <w:i w:val="0"/>
          <w:sz w:val="22"/>
        </w:rPr>
        <w:t>モデル活用のイメージです。原料データやスペクトル、プロセスデータを入力し、物理モデルや反応速度モデル、必要に応じて機械学習モデルを用いて、品質値、収率、処理量などを予測することで、原料に応じた最適操業点を導出します。</w:t>
      </w:r>
    </w:p>
    <w:p>
      <w:pPr>
        <w:spacing w:after="200"/>
      </w:pPr>
      <w:r>
        <w:rPr>
          <w:rFonts w:ascii="Yu Gothic" w:hAnsi="Yu Gothic" w:eastAsia="Yu Gothic"/>
          <w:i/>
          <w:color w:val="666666"/>
          <w:sz w:val="18"/>
        </w:rPr>
        <w:t>【訂正メモ】旧稿の「品質や収率」に、スライド記載の「処理量」を追加。</w:t>
      </w:r>
    </w:p>
    <w:p>
      <w:pPr>
        <w:pStyle w:val="Heading2"/>
      </w:pPr>
      <w:r>
        <w:rPr>
          <w:rFonts w:ascii="Yu Gothic" w:hAnsi="Yu Gothic" w:eastAsia="Yu Gothic"/>
          <w:color w:val="1F4E79"/>
        </w:rPr>
        <w:t>スライド 6　プラント操作最適化のイメージ</w:t>
      </w:r>
    </w:p>
    <w:p>
      <w:pPr>
        <w:spacing w:after="120" w:line="324" w:lineRule="auto"/>
      </w:pPr>
      <w:r>
        <w:rPr>
          <w:rFonts w:ascii="Yu Gothic" w:hAnsi="Yu Gothic" w:eastAsia="Yu Gothic"/>
          <w:b w:val="0"/>
          <w:i w:val="0"/>
          <w:sz w:val="22"/>
        </w:rPr>
        <w:t>モデルにより最適操作値を計算し、原料変動に対して生成物の品質を安定化します。原料計測情報を基にするフィードフォワード制御と、内部状態や生成物計測値を基にするフィードバック制御の両方を想定しています。</w:t>
      </w:r>
    </w:p>
    <w:p>
      <w:pPr>
        <w:pStyle w:val="Heading2"/>
      </w:pPr>
      <w:r>
        <w:rPr>
          <w:rFonts w:ascii="Yu Gothic" w:hAnsi="Yu Gothic" w:eastAsia="Yu Gothic"/>
          <w:color w:val="1F4E79"/>
        </w:rPr>
        <w:t>スライド 7　競合吸着反応のモデル化（セクション表紙）</w:t>
      </w:r>
    </w:p>
    <w:p>
      <w:pPr>
        <w:spacing w:after="120" w:line="324" w:lineRule="auto"/>
      </w:pPr>
      <w:r>
        <w:rPr>
          <w:rFonts w:ascii="Yu Gothic" w:hAnsi="Yu Gothic" w:eastAsia="Yu Gothic"/>
          <w:b w:val="0"/>
          <w:i w:val="0"/>
          <w:sz w:val="22"/>
        </w:rPr>
        <w:t>ここから、競合吸着反応のモデル化について説明します。</w:t>
      </w:r>
    </w:p>
    <w:p>
      <w:pPr>
        <w:pStyle w:val="Heading2"/>
      </w:pPr>
      <w:r>
        <w:rPr>
          <w:rFonts w:ascii="Yu Gothic" w:hAnsi="Yu Gothic" w:eastAsia="Yu Gothic"/>
          <w:color w:val="1F4E79"/>
        </w:rPr>
        <w:t>スライド 8　競合吸着の理論</w:t>
      </w:r>
    </w:p>
    <w:p>
      <w:pPr>
        <w:spacing w:after="120" w:line="324" w:lineRule="auto"/>
      </w:pPr>
      <w:r>
        <w:rPr>
          <w:rFonts w:ascii="Yu Gothic" w:hAnsi="Yu Gothic" w:eastAsia="Yu Gothic"/>
          <w:b w:val="0"/>
          <w:i w:val="0"/>
          <w:sz w:val="22"/>
        </w:rPr>
        <w:t>本モデルは、廣森先生の論文を参考に構築しています。液相濃度変化と競合吸着現象を、理論に基づいて表現しています。</w:t>
      </w:r>
    </w:p>
    <w:p>
      <w:pPr>
        <w:spacing w:after="200"/>
      </w:pPr>
      <w:r>
        <w:rPr>
          <w:rFonts w:ascii="Yu Gothic" w:hAnsi="Yu Gothic" w:eastAsia="Yu Gothic"/>
          <w:i/>
          <w:color w:val="666666"/>
          <w:sz w:val="18"/>
        </w:rPr>
        <w:t>【訂正メモ】スライド原文の「参考して」は口頭では「参考に」と補正。</w:t>
      </w:r>
    </w:p>
    <w:p>
      <w:pPr>
        <w:pStyle w:val="Heading2"/>
      </w:pPr>
      <w:r>
        <w:rPr>
          <w:rFonts w:ascii="Yu Gothic" w:hAnsi="Yu Gothic" w:eastAsia="Yu Gothic"/>
          <w:color w:val="1F4E79"/>
        </w:rPr>
        <w:t>スライド 9　競合吸着モデルのPython実装</w:t>
      </w:r>
    </w:p>
    <w:p>
      <w:pPr>
        <w:spacing w:after="120" w:line="324" w:lineRule="auto"/>
      </w:pPr>
      <w:r>
        <w:rPr>
          <w:rFonts w:ascii="Yu Gothic" w:hAnsi="Yu Gothic" w:eastAsia="Yu Gothic"/>
          <w:b w:val="0"/>
          <w:i w:val="0"/>
          <w:sz w:val="22"/>
        </w:rPr>
        <w:t>東北大学の競合吸着モデル、すなわち物理化学原理に基づく基礎式を、Pythonで数値計算可能な形に実装し、シミュレーションを実施しています。</w:t>
      </w:r>
    </w:p>
    <w:p>
      <w:pPr>
        <w:spacing w:after="200"/>
      </w:pPr>
      <w:r>
        <w:rPr>
          <w:rFonts w:ascii="Yu Gothic" w:hAnsi="Yu Gothic" w:eastAsia="Yu Gothic"/>
          <w:i/>
          <w:color w:val="666666"/>
          <w:sz w:val="18"/>
        </w:rPr>
        <w:t>【訂正メモ】「東北大学の競合吸着モデル」「物理化学原理の数式」を明記。</w:t>
      </w:r>
    </w:p>
    <w:p>
      <w:pPr>
        <w:pStyle w:val="Heading2"/>
      </w:pPr>
      <w:r>
        <w:rPr>
          <w:rFonts w:ascii="Yu Gothic" w:hAnsi="Yu Gothic" w:eastAsia="Yu Gothic"/>
          <w:color w:val="1F4E79"/>
        </w:rPr>
        <w:t>スライド 10　モデル計算値の精度検証</w:t>
      </w:r>
    </w:p>
    <w:p>
      <w:pPr>
        <w:spacing w:after="120" w:line="324" w:lineRule="auto"/>
      </w:pPr>
      <w:r>
        <w:rPr>
          <w:rFonts w:ascii="Yu Gothic" w:hAnsi="Yu Gothic" w:eastAsia="Yu Gothic"/>
          <w:b w:val="0"/>
          <w:i w:val="0"/>
          <w:sz w:val="22"/>
        </w:rPr>
        <w:t>論文結果との比較では、高い一致度が得られました。VE濃度およびFA濃度のいずれも相関係数は0.99、二乗平均平方根誤差（RMSE）はそれぞれ0.0035および0.0024であり、実装の妥当性を確認できています。</w:t>
      </w:r>
    </w:p>
    <w:p>
      <w:pPr>
        <w:spacing w:after="200"/>
      </w:pPr>
      <w:r>
        <w:rPr>
          <w:rFonts w:ascii="Yu Gothic" w:hAnsi="Yu Gothic" w:eastAsia="Yu Gothic"/>
          <w:i/>
          <w:color w:val="666666"/>
          <w:sz w:val="18"/>
        </w:rPr>
        <w:t>【訂正メモ】スライド上の「平均絶対誤差（RMSE）」は用語が不正確なため、原稿ではRMSEの正式名称に修正。</w:t>
      </w:r>
    </w:p>
    <w:p>
      <w:pPr>
        <w:pStyle w:val="Heading2"/>
      </w:pPr>
      <w:r>
        <w:rPr>
          <w:rFonts w:ascii="Yu Gothic" w:hAnsi="Yu Gothic" w:eastAsia="Yu Gothic"/>
          <w:color w:val="1F4E79"/>
        </w:rPr>
        <w:t>スライド 11　パイロットプラントでのモデル構築</w:t>
      </w:r>
    </w:p>
    <w:p>
      <w:pPr>
        <w:spacing w:after="120" w:line="324" w:lineRule="auto"/>
      </w:pPr>
      <w:r>
        <w:rPr>
          <w:rFonts w:ascii="Yu Gothic" w:hAnsi="Yu Gothic" w:eastAsia="Yu Gothic"/>
          <w:b w:val="0"/>
          <w:i w:val="0"/>
          <w:sz w:val="22"/>
        </w:rPr>
        <w:t>パイロットプラントへの適用では、主にアニオン処理工程のR003、R004A、R004Bをモデル化対象としています。カチオン処理後の中継タンク以降のアニオン吸着・洗浄、脱離・再生を含むプロセスに対してモデルを構築しています。</w:t>
      </w:r>
    </w:p>
    <w:p>
      <w:pPr>
        <w:pStyle w:val="Heading2"/>
      </w:pPr>
      <w:r>
        <w:rPr>
          <w:rFonts w:ascii="Yu Gothic" w:hAnsi="Yu Gothic" w:eastAsia="Yu Gothic"/>
          <w:color w:val="1F4E79"/>
        </w:rPr>
        <w:t>スライド 12　フィッティング対象パラメータ</w:t>
      </w:r>
    </w:p>
    <w:p>
      <w:pPr>
        <w:spacing w:after="120" w:line="324" w:lineRule="auto"/>
      </w:pPr>
      <w:r>
        <w:rPr>
          <w:rFonts w:ascii="Yu Gothic" w:hAnsi="Yu Gothic" w:eastAsia="Yu Gothic"/>
          <w:b w:val="0"/>
          <w:i w:val="0"/>
          <w:sz w:val="22"/>
        </w:rPr>
        <w:t>フィッティング対象は、樹脂床の空隙率、総吸着量、イオン交換の吸着・脱着速度定数、および競合吸着速度定数です。通液流量や原料濃度などの実測データに基づき推定します。</w:t>
      </w:r>
    </w:p>
    <w:p>
      <w:pPr>
        <w:pStyle w:val="Heading2"/>
      </w:pPr>
      <w:r>
        <w:rPr>
          <w:rFonts w:ascii="Yu Gothic" w:hAnsi="Yu Gothic" w:eastAsia="Yu Gothic"/>
          <w:color w:val="1F4E79"/>
        </w:rPr>
        <w:t>スライド 13　物質種の近似</w:t>
      </w:r>
    </w:p>
    <w:p>
      <w:pPr>
        <w:spacing w:after="120" w:line="324" w:lineRule="auto"/>
      </w:pPr>
      <w:r>
        <w:rPr>
          <w:rFonts w:ascii="Yu Gothic" w:hAnsi="Yu Gothic" w:eastAsia="Yu Gothic"/>
          <w:b w:val="0"/>
          <w:i w:val="0"/>
          <w:sz w:val="22"/>
        </w:rPr>
        <w:t>モデル簡略化のため、VEはα体とγ体の2成分、脂肪酸は1成分で代表化しています。具体的には、VE1はToc-αとT3-αの合計、VE2はToc-γとT3-γの合計、FAはリノール酸やオレイン酸などを代表成分として扱います。</w:t>
      </w:r>
    </w:p>
    <w:p>
      <w:pPr>
        <w:pStyle w:val="Heading2"/>
      </w:pPr>
      <w:r>
        <w:rPr>
          <w:rFonts w:ascii="Yu Gothic" w:hAnsi="Yu Gothic" w:eastAsia="Yu Gothic"/>
          <w:color w:val="1F4E79"/>
        </w:rPr>
        <w:t>スライド 14　シミュレーション結果と考察（セクション表紙）</w:t>
      </w:r>
    </w:p>
    <w:p>
      <w:pPr>
        <w:spacing w:after="120" w:line="324" w:lineRule="auto"/>
      </w:pPr>
      <w:r>
        <w:rPr>
          <w:rFonts w:ascii="Yu Gothic" w:hAnsi="Yu Gothic" w:eastAsia="Yu Gothic"/>
          <w:b w:val="0"/>
          <w:i w:val="0"/>
          <w:sz w:val="22"/>
        </w:rPr>
        <w:t>ここから、シミュレーション結果と考察について説明します。</w:t>
      </w:r>
    </w:p>
    <w:p>
      <w:pPr>
        <w:pStyle w:val="Heading2"/>
      </w:pPr>
      <w:r>
        <w:rPr>
          <w:rFonts w:ascii="Yu Gothic" w:hAnsi="Yu Gothic" w:eastAsia="Yu Gothic"/>
          <w:color w:val="1F4E79"/>
        </w:rPr>
        <w:t>スライド 15　シミュレーション結果のまとめ</w:t>
      </w:r>
    </w:p>
    <w:p>
      <w:pPr>
        <w:spacing w:after="120" w:line="324" w:lineRule="auto"/>
      </w:pPr>
      <w:r>
        <w:rPr>
          <w:rFonts w:ascii="Yu Gothic" w:hAnsi="Yu Gothic" w:eastAsia="Yu Gothic"/>
          <w:b w:val="0"/>
          <w:i w:val="0"/>
          <w:sz w:val="22"/>
        </w:rPr>
        <w:t>モデル対象範囲と評価観点です。各塔の吸着プロファイルと出口組成を評価しています。モデル構築対象はR003とR004Aです。R004Bは出口分析値が少ないため、現時点ではR004Aのモデルを用いて評価しています。</w:t>
      </w:r>
    </w:p>
    <w:p>
      <w:pPr>
        <w:spacing w:after="200"/>
      </w:pPr>
      <w:r>
        <w:rPr>
          <w:rFonts w:ascii="Yu Gothic" w:hAnsi="Yu Gothic" w:eastAsia="Yu Gothic"/>
          <w:i/>
          <w:color w:val="666666"/>
          <w:sz w:val="18"/>
        </w:rPr>
        <w:t>【訂正メモ】R004Bの扱いを追記。</w:t>
      </w:r>
    </w:p>
    <w:p>
      <w:pPr>
        <w:pStyle w:val="Heading2"/>
      </w:pPr>
      <w:r>
        <w:rPr>
          <w:rFonts w:ascii="Yu Gothic" w:hAnsi="Yu Gothic" w:eastAsia="Yu Gothic"/>
          <w:color w:val="1F4E79"/>
        </w:rPr>
        <w:t>スライド 16　構築したモデル種類のまとめ</w:t>
      </w:r>
    </w:p>
    <w:p>
      <w:pPr>
        <w:spacing w:after="120" w:line="324" w:lineRule="auto"/>
      </w:pPr>
      <w:r>
        <w:rPr>
          <w:rFonts w:ascii="Yu Gothic" w:hAnsi="Yu Gothic" w:eastAsia="Yu Gothic"/>
          <w:b w:val="0"/>
          <w:i w:val="0"/>
          <w:sz w:val="22"/>
        </w:rPr>
        <w:t>構築したモデルを整理します。単ロット学習モデルでは、ESX002からESX012まで各ロットで学習・検証を行い、モデルの妥当性、すなわち対象現象を説明できるかを確認しました。一方、複数ロット学習モデルでは、例えばESX004とESX006で学習し、ESX012を予測することで、未知・将来ロットへの汎用性を評価しました。</w:t>
      </w:r>
    </w:p>
    <w:p>
      <w:pPr>
        <w:pStyle w:val="Heading2"/>
      </w:pPr>
      <w:r>
        <w:rPr>
          <w:rFonts w:ascii="Yu Gothic" w:hAnsi="Yu Gothic" w:eastAsia="Yu Gothic"/>
          <w:color w:val="1F4E79"/>
        </w:rPr>
        <w:t>スライド 17　単ロット学習結果：ESX012</w:t>
      </w:r>
    </w:p>
    <w:p>
      <w:pPr>
        <w:spacing w:after="120" w:line="324" w:lineRule="auto"/>
      </w:pPr>
      <w:r>
        <w:rPr>
          <w:rFonts w:ascii="Yu Gothic" w:hAnsi="Yu Gothic" w:eastAsia="Yu Gothic"/>
          <w:b w:val="0"/>
          <w:i w:val="0"/>
          <w:sz w:val="22"/>
        </w:rPr>
        <w:t>ESX012の単ロット学習結果です。R003は高精度に再現できています。R004Aも概ね良好ですが、VEγの立ち上がり部にわずかな乖離が見られます。一方、R004Bでは吸着帯が短く、樹脂サイトの活用が不十分であるという結果になりました。なお、他の単ロットについてもシミュレーション済みです。</w:t>
      </w:r>
    </w:p>
    <w:p>
      <w:pPr>
        <w:spacing w:after="200"/>
      </w:pPr>
      <w:r>
        <w:rPr>
          <w:rFonts w:ascii="Yu Gothic" w:hAnsi="Yu Gothic" w:eastAsia="Yu Gothic"/>
          <w:i/>
          <w:color w:val="666666"/>
          <w:sz w:val="18"/>
        </w:rPr>
        <w:t>【訂正メモ】VEγ立ち上がり部の乖離、他単ロット実施済みの点を追記。</w:t>
      </w:r>
    </w:p>
    <w:p>
      <w:pPr>
        <w:pStyle w:val="Heading2"/>
      </w:pPr>
      <w:r>
        <w:rPr>
          <w:rFonts w:ascii="Yu Gothic" w:hAnsi="Yu Gothic" w:eastAsia="Yu Gothic"/>
          <w:color w:val="1F4E79"/>
        </w:rPr>
        <w:t>スライド 18　複数ロット学習結果：学習ESX4,6／予測ESX12</w:t>
      </w:r>
    </w:p>
    <w:p>
      <w:pPr>
        <w:spacing w:after="120" w:line="324" w:lineRule="auto"/>
      </w:pPr>
      <w:r>
        <w:rPr>
          <w:rFonts w:ascii="Yu Gothic" w:hAnsi="Yu Gothic" w:eastAsia="Yu Gothic"/>
          <w:b w:val="0"/>
          <w:i w:val="0"/>
          <w:sz w:val="22"/>
        </w:rPr>
        <w:t>複数ロット学習モデルでも、単ロット学習時と同等の吸着プロファイルを再現できています。樹脂サイトの活用が不十分である傾向も同様です。出口組成については、R003は単ロットと同等、R004AではVEαの追従性がやや低下した一方で、VEγの再現精度は顕著に向上しました。</w:t>
      </w:r>
    </w:p>
    <w:p>
      <w:pPr>
        <w:spacing w:after="200"/>
      </w:pPr>
      <w:r>
        <w:rPr>
          <w:rFonts w:ascii="Yu Gothic" w:hAnsi="Yu Gothic" w:eastAsia="Yu Gothic"/>
          <w:i/>
          <w:color w:val="666666"/>
          <w:sz w:val="18"/>
        </w:rPr>
        <w:t>【訂正メモ】VEα低下とVEγ向上の対比を追記。</w:t>
      </w:r>
    </w:p>
    <w:p>
      <w:pPr>
        <w:pStyle w:val="Heading2"/>
      </w:pPr>
      <w:r>
        <w:rPr>
          <w:rFonts w:ascii="Yu Gothic" w:hAnsi="Yu Gothic" w:eastAsia="Yu Gothic"/>
          <w:color w:val="1F4E79"/>
        </w:rPr>
        <w:t>スライド 19　通液時間延長の効果</w:t>
      </w:r>
    </w:p>
    <w:p>
      <w:pPr>
        <w:spacing w:after="120" w:line="324" w:lineRule="auto"/>
      </w:pPr>
      <w:r>
        <w:rPr>
          <w:rFonts w:ascii="Yu Gothic" w:hAnsi="Yu Gothic" w:eastAsia="Yu Gothic"/>
          <w:b w:val="0"/>
          <w:i w:val="0"/>
          <w:sz w:val="22"/>
        </w:rPr>
        <w:t>ESX012の単ロット学習モデルによるシミュレーションでは、現状の運転時間420分を約100分延長することで、未利用の吸着領域を有効活用でき、吸着塔利用率およびロット処理量の向上が期待される結果となりました。</w:t>
      </w:r>
    </w:p>
    <w:p>
      <w:pPr>
        <w:spacing w:after="200"/>
      </w:pPr>
      <w:r>
        <w:rPr>
          <w:rFonts w:ascii="Yu Gothic" w:hAnsi="Yu Gothic" w:eastAsia="Yu Gothic"/>
          <w:i/>
          <w:color w:val="666666"/>
          <w:sz w:val="18"/>
        </w:rPr>
        <w:t>【訂正メモ】420分という具体値を追記。</w:t>
      </w:r>
    </w:p>
    <w:p>
      <w:pPr>
        <w:pStyle w:val="Heading2"/>
      </w:pPr>
      <w:r>
        <w:rPr>
          <w:rFonts w:ascii="Yu Gothic" w:hAnsi="Yu Gothic" w:eastAsia="Yu Gothic"/>
          <w:color w:val="1F4E79"/>
        </w:rPr>
        <w:t>スライド 20　吸着量の変化</w:t>
      </w:r>
    </w:p>
    <w:p>
      <w:pPr>
        <w:spacing w:after="120" w:line="324" w:lineRule="auto"/>
      </w:pPr>
      <w:r>
        <w:rPr>
          <w:rFonts w:ascii="Yu Gothic" w:hAnsi="Yu Gothic" w:eastAsia="Yu Gothic"/>
          <w:b w:val="0"/>
          <w:i w:val="0"/>
          <w:sz w:val="22"/>
        </w:rPr>
        <w:t>吸着量の推移です。R004AではESX004以降、吸着量が安定しています。R003ではESX012で吸着量が回復し、ESX013およびESX014でも安定すると推定されます。ただし、ESX013・ESX014のデータは現在収集・整理中です。</w:t>
      </w:r>
    </w:p>
    <w:p>
      <w:pPr>
        <w:spacing w:after="200"/>
      </w:pPr>
      <w:r>
        <w:rPr>
          <w:rFonts w:ascii="Yu Gothic" w:hAnsi="Yu Gothic" w:eastAsia="Yu Gothic"/>
          <w:i/>
          <w:color w:val="666666"/>
          <w:sz w:val="18"/>
        </w:rPr>
        <w:t>【訂正メモ】ロット番号をスライドに合わせて具体化。</w:t>
      </w:r>
    </w:p>
    <w:p>
      <w:pPr>
        <w:pStyle w:val="Heading2"/>
      </w:pPr>
      <w:r>
        <w:rPr>
          <w:rFonts w:ascii="Yu Gothic" w:hAnsi="Yu Gothic" w:eastAsia="Yu Gothic"/>
          <w:color w:val="1F4E79"/>
        </w:rPr>
        <w:t>スライド 21　モデルの活用価値</w:t>
      </w:r>
    </w:p>
    <w:p>
      <w:pPr>
        <w:spacing w:after="120" w:line="324" w:lineRule="auto"/>
      </w:pPr>
      <w:r>
        <w:rPr>
          <w:rFonts w:ascii="Yu Gothic" w:hAnsi="Yu Gothic" w:eastAsia="Yu Gothic"/>
          <w:b w:val="0"/>
          <w:i w:val="0"/>
          <w:sz w:val="22"/>
        </w:rPr>
        <w:t>樹脂性能が安定している期間に構築した汎用モデルを活用することで、新しいESX開始前に各塔の吸着プロファイルや出口組成を予測し、運転効率・稼働率の向上や品質の安定化につなげられると考えています。また、原料切替時の挙動を事前に予測し、最適な運転方針を早期に策定することも期待できます。</w:t>
      </w:r>
    </w:p>
    <w:p>
      <w:pPr>
        <w:spacing w:after="200"/>
      </w:pPr>
      <w:r>
        <w:rPr>
          <w:rFonts w:ascii="Yu Gothic" w:hAnsi="Yu Gothic" w:eastAsia="Yu Gothic"/>
          <w:i/>
          <w:color w:val="666666"/>
          <w:sz w:val="18"/>
        </w:rPr>
        <w:t>【訂正メモ】活用価値の具体表現をスライドに合わせて拡充。</w:t>
      </w:r>
    </w:p>
    <w:p>
      <w:pPr>
        <w:pStyle w:val="Heading2"/>
      </w:pPr>
      <w:r>
        <w:rPr>
          <w:rFonts w:ascii="Yu Gothic" w:hAnsi="Yu Gothic" w:eastAsia="Yu Gothic"/>
          <w:color w:val="1F4E79"/>
        </w:rPr>
        <w:t>スライド 22　VE濃度ピークの再現課題</w:t>
      </w:r>
    </w:p>
    <w:p>
      <w:pPr>
        <w:spacing w:after="120" w:line="324" w:lineRule="auto"/>
      </w:pPr>
      <w:r>
        <w:rPr>
          <w:rFonts w:ascii="Yu Gothic" w:hAnsi="Yu Gothic" w:eastAsia="Yu Gothic"/>
          <w:b w:val="0"/>
          <w:i w:val="0"/>
          <w:sz w:val="22"/>
        </w:rPr>
        <w:t>一方で、VE濃度ピークは現行モデルでは十分に再現できていません。R003およびR004Aでは、オーバーシュート時のピーク値を捉えきれておらず、計算上のピークは平坦であるのに対し、実測ではピーク後により急速に濃度が低下するロットが多く見られます。FA以外の未考慮成分がVEと競合吸着し、このオーバーシュートを引き起こしている可能性があります。</w:t>
      </w:r>
    </w:p>
    <w:p>
      <w:pPr>
        <w:pStyle w:val="Heading2"/>
      </w:pPr>
      <w:r>
        <w:rPr>
          <w:rFonts w:ascii="Yu Gothic" w:hAnsi="Yu Gothic" w:eastAsia="Yu Gothic"/>
          <w:color w:val="1F4E79"/>
        </w:rPr>
        <w:t>スライド 23　未考慮成分の影響仮説</w:t>
      </w:r>
    </w:p>
    <w:p>
      <w:pPr>
        <w:spacing w:after="120" w:line="324" w:lineRule="auto"/>
      </w:pPr>
      <w:r>
        <w:rPr>
          <w:rFonts w:ascii="Yu Gothic" w:hAnsi="Yu Gothic" w:eastAsia="Yu Gothic"/>
          <w:b w:val="0"/>
          <w:i w:val="0"/>
          <w:sz w:val="22"/>
        </w:rPr>
        <w:t>したがって、モデル精度向上には、未考慮成分の影響を検証し、モデルへ反映することが重要です。VE濃度のピークが高く、形状がシャープであることから、VEより吸着速度の速い成分が、原料濃度以上に濃い環境をつくっている可能性を考えています。現行モデルではエステル処理液中のFA、VE-α、VE-γのみを考慮しており、未考慮成分の影響は含まれていません。また、反応速度係数は論文値で固定しているため、競合吸着速度の調整だけでは、ピーク濃度の大幅な乖離を説明するのは難しいと考えています。</w:t>
      </w:r>
    </w:p>
    <w:p>
      <w:pPr>
        <w:pStyle w:val="Heading2"/>
      </w:pPr>
      <w:r>
        <w:rPr>
          <w:rFonts w:ascii="Yu Gothic" w:hAnsi="Yu Gothic" w:eastAsia="Yu Gothic"/>
          <w:color w:val="1F4E79"/>
        </w:rPr>
        <w:t>スライド 24　脱離液中のFA回収量</w:t>
      </w:r>
    </w:p>
    <w:p>
      <w:pPr>
        <w:spacing w:after="120" w:line="324" w:lineRule="auto"/>
      </w:pPr>
      <w:r>
        <w:rPr>
          <w:rFonts w:ascii="Yu Gothic" w:hAnsi="Yu Gothic" w:eastAsia="Yu Gothic"/>
          <w:b w:val="0"/>
          <w:i w:val="0"/>
          <w:sz w:val="22"/>
        </w:rPr>
        <w:t>加えて、脱離液中のFA回収量が、中継タンク中のFA投入量を上回る現象が確認されています。この原因について検討しました。</w:t>
      </w:r>
    </w:p>
    <w:p>
      <w:pPr>
        <w:pStyle w:val="Heading2"/>
      </w:pPr>
      <w:r>
        <w:rPr>
          <w:rFonts w:ascii="Yu Gothic" w:hAnsi="Yu Gothic" w:eastAsia="Yu Gothic"/>
          <w:color w:val="1F4E79"/>
        </w:rPr>
        <w:t>スライド 25　FAEE加水分解の可能性</w:t>
      </w:r>
    </w:p>
    <w:p>
      <w:pPr>
        <w:spacing w:after="120" w:line="324" w:lineRule="auto"/>
      </w:pPr>
      <w:r>
        <w:rPr>
          <w:rFonts w:ascii="Yu Gothic" w:hAnsi="Yu Gothic" w:eastAsia="Yu Gothic"/>
          <w:b w:val="0"/>
          <w:i w:val="0"/>
          <w:sz w:val="22"/>
        </w:rPr>
        <w:t>仮説として、FAEEの加水分解を考えています。原料中にはFAEEが約35%、エタノールが約25%、水分が約3%程度含まれており、エステル化と加水分解の平衡があります。吸着反応により水分側の収支が変化し、水分が増加すると加水分解側へ平衡が移動し、FA生成が促進される可能性があります。特にFAEE濃度が高いほど、加水分解によるFA生成速度が増加すると考えられます。</w:t>
      </w:r>
    </w:p>
    <w:p>
      <w:pPr>
        <w:spacing w:after="200"/>
      </w:pPr>
      <w:r>
        <w:rPr>
          <w:rFonts w:ascii="Yu Gothic" w:hAnsi="Yu Gothic" w:eastAsia="Yu Gothic"/>
          <w:i/>
          <w:color w:val="666666"/>
          <w:sz w:val="18"/>
        </w:rPr>
        <w:t>【訂正メモ】組成値と平衡の説明を追記。</w:t>
      </w:r>
    </w:p>
    <w:p>
      <w:pPr>
        <w:pStyle w:val="Heading2"/>
      </w:pPr>
      <w:r>
        <w:rPr>
          <w:rFonts w:ascii="Yu Gothic" w:hAnsi="Yu Gothic" w:eastAsia="Yu Gothic"/>
          <w:color w:val="1F4E79"/>
        </w:rPr>
        <w:t>スライド 26　FAEE分解反応のモデル追加案</w:t>
      </w:r>
    </w:p>
    <w:p>
      <w:pPr>
        <w:spacing w:after="120" w:line="324" w:lineRule="auto"/>
      </w:pPr>
      <w:r>
        <w:rPr>
          <w:rFonts w:ascii="Yu Gothic" w:hAnsi="Yu Gothic" w:eastAsia="Yu Gothic"/>
          <w:b w:val="0"/>
          <w:i w:val="0"/>
          <w:sz w:val="22"/>
        </w:rPr>
        <w:t>そのため、モデルにFAEE分解反応を追加する案です。反応式は、FAEEと水からFAとエタノールが生成する形です。進め方としては二段階を想定しています。第1段階では加水分解のみを考慮し、見かけの速度定数k_hydをフィッティングします。第2段階では、逆反応を含む可逆反応として評価します。</w:t>
      </w:r>
    </w:p>
    <w:p>
      <w:pPr>
        <w:spacing w:after="200"/>
      </w:pPr>
      <w:r>
        <w:rPr>
          <w:rFonts w:ascii="Yu Gothic" w:hAnsi="Yu Gothic" w:eastAsia="Yu Gothic"/>
          <w:i/>
          <w:color w:val="666666"/>
          <w:sz w:val="18"/>
        </w:rPr>
        <w:t>【訂正メモ】二段階アプローチを明記。</w:t>
      </w:r>
    </w:p>
    <w:p>
      <w:pPr>
        <w:pStyle w:val="Heading2"/>
      </w:pPr>
      <w:r>
        <w:rPr>
          <w:rFonts w:ascii="Yu Gothic" w:hAnsi="Yu Gothic" w:eastAsia="Yu Gothic"/>
          <w:color w:val="1F4E79"/>
        </w:rPr>
        <w:t>スライド 27　吸着帯の変化について</w:t>
      </w:r>
    </w:p>
    <w:p>
      <w:pPr>
        <w:spacing w:after="120" w:line="324" w:lineRule="auto"/>
      </w:pPr>
      <w:r>
        <w:rPr>
          <w:rFonts w:ascii="Yu Gothic" w:hAnsi="Yu Gothic" w:eastAsia="Yu Gothic"/>
          <w:b w:val="0"/>
          <w:i w:val="0"/>
          <w:sz w:val="22"/>
        </w:rPr>
        <w:t>また、7月24日の加藤さんとの打合せにおいて、「樹脂塔の処理順に吸着帯が狭まっていく」との仮説を伺いました。R003からR004A、R004Bへ進むにつれて吸着帯が狭くなる、という整理です。この仮説に関連する廣森先生の理論について、後ほどご教示いただければと考えています。</w:t>
      </w:r>
    </w:p>
    <w:p>
      <w:pPr>
        <w:spacing w:after="200"/>
      </w:pPr>
      <w:r>
        <w:rPr>
          <w:rFonts w:ascii="Yu Gothic" w:hAnsi="Yu Gothic" w:eastAsia="Yu Gothic"/>
          <w:i/>
          <w:color w:val="666666"/>
          <w:sz w:val="18"/>
        </w:rPr>
        <w:t>【訂正メモ】打合せ日と処理順の具体を追記。</w:t>
      </w:r>
    </w:p>
    <w:p>
      <w:pPr>
        <w:pStyle w:val="Heading2"/>
      </w:pPr>
      <w:r>
        <w:rPr>
          <w:rFonts w:ascii="Yu Gothic" w:hAnsi="Yu Gothic" w:eastAsia="Yu Gothic"/>
          <w:color w:val="1F4E79"/>
        </w:rPr>
        <w:t>スライド 28　樹脂性能変化の仮説（セクション表紙）</w:t>
      </w:r>
    </w:p>
    <w:p>
      <w:pPr>
        <w:spacing w:after="120" w:line="324" w:lineRule="auto"/>
      </w:pPr>
      <w:r>
        <w:rPr>
          <w:rFonts w:ascii="Yu Gothic" w:hAnsi="Yu Gothic" w:eastAsia="Yu Gothic"/>
          <w:b w:val="0"/>
          <w:i w:val="0"/>
          <w:sz w:val="22"/>
        </w:rPr>
        <w:t>ここから、樹脂性能変化に関する仮説を説明します。</w:t>
      </w:r>
    </w:p>
    <w:p>
      <w:pPr>
        <w:pStyle w:val="Heading2"/>
      </w:pPr>
      <w:r>
        <w:rPr>
          <w:rFonts w:ascii="Yu Gothic" w:hAnsi="Yu Gothic" w:eastAsia="Yu Gothic"/>
          <w:color w:val="1F4E79"/>
        </w:rPr>
        <w:t>スライド 29　樹脂性能変化の仮説整理</w:t>
      </w:r>
    </w:p>
    <w:p>
      <w:pPr>
        <w:spacing w:after="120" w:line="324" w:lineRule="auto"/>
      </w:pPr>
      <w:r>
        <w:rPr>
          <w:rFonts w:ascii="Yu Gothic" w:hAnsi="Yu Gothic" w:eastAsia="Yu Gothic"/>
          <w:b w:val="0"/>
          <w:i w:val="0"/>
          <w:sz w:val="22"/>
        </w:rPr>
        <w:t>樹脂性能低下の要因として、仮説Aの空隙率変化と、仮説Bの表面変化の二つを整理しています。水由来の膨潤は油との接触で可逆的に解消されやすい一方、油成分由来の膨潤は再生しても戻らず、体積が回復しない可能性があります。ただし、流量や通液量に大きな変化が見られないことから、空隙率変化は小さいとも推定され、表面変化、すなわちファウリングが発生している可能性が高いと考えています。</w:t>
      </w:r>
    </w:p>
    <w:p>
      <w:pPr>
        <w:pStyle w:val="Heading2"/>
      </w:pPr>
      <w:r>
        <w:rPr>
          <w:rFonts w:ascii="Yu Gothic" w:hAnsi="Yu Gothic" w:eastAsia="Yu Gothic"/>
          <w:color w:val="1F4E79"/>
        </w:rPr>
        <w:t>スライド 30　ファウリングについて</w:t>
      </w:r>
    </w:p>
    <w:p>
      <w:pPr>
        <w:spacing w:after="120" w:line="324" w:lineRule="auto"/>
      </w:pPr>
      <w:r>
        <w:rPr>
          <w:rFonts w:ascii="Yu Gothic" w:hAnsi="Yu Gothic" w:eastAsia="Yu Gothic"/>
          <w:b w:val="0"/>
          <w:i w:val="0"/>
          <w:sz w:val="22"/>
        </w:rPr>
        <w:t>ファウリングは、イオン交換樹脂劣化の一例です。通過液中の成分によって汚染が発生し、樹脂の交換能力が低下します。イメージとしては、樹脂内部の色が変化して性能が低下する一方で、粒子間の隙間、つまり空隙率はあまり変わらない、という状態です。このため、劣化自体は流量変化や通液時間差だけでは判断しにくい可能性があります。</w:t>
      </w:r>
    </w:p>
    <w:p>
      <w:pPr>
        <w:spacing w:after="200"/>
      </w:pPr>
      <w:r>
        <w:rPr>
          <w:rFonts w:ascii="Yu Gothic" w:hAnsi="Yu Gothic" w:eastAsia="Yu Gothic"/>
          <w:i/>
          <w:color w:val="666666"/>
          <w:sz w:val="18"/>
        </w:rPr>
        <w:t>【訂正メモ】「見えにくい」根拠をスライド表現に合わせて具体化。</w:t>
      </w:r>
    </w:p>
    <w:p>
      <w:pPr>
        <w:pStyle w:val="Heading2"/>
      </w:pPr>
      <w:r>
        <w:rPr>
          <w:rFonts w:ascii="Yu Gothic" w:hAnsi="Yu Gothic" w:eastAsia="Yu Gothic"/>
          <w:color w:val="1F4E79"/>
        </w:rPr>
        <w:t>スライド 31　膨潤とファウリングの関係</w:t>
      </w:r>
    </w:p>
    <w:p>
      <w:pPr>
        <w:spacing w:after="120" w:line="324" w:lineRule="auto"/>
      </w:pPr>
      <w:r>
        <w:rPr>
          <w:rFonts w:ascii="Yu Gothic" w:hAnsi="Yu Gothic" w:eastAsia="Yu Gothic"/>
          <w:b w:val="0"/>
          <w:i w:val="0"/>
          <w:sz w:val="22"/>
        </w:rPr>
        <w:t>膨潤とファウリングの関係です。樹脂が膨潤して元の体積に戻らず、膨張と収縮を繰り返す物理的ストレスで網目構造が壊れると、本来入り込めない大きな分子が内部へ侵入しやすくなります。内部に汚れが蓄積してファウリングが進むと、有効な吸着サイトが減少し、吸着性能が低下すると考えています。</w:t>
      </w:r>
    </w:p>
    <w:p>
      <w:pPr>
        <w:pStyle w:val="Heading2"/>
      </w:pPr>
      <w:r>
        <w:rPr>
          <w:rFonts w:ascii="Yu Gothic" w:hAnsi="Yu Gothic" w:eastAsia="Yu Gothic"/>
          <w:color w:val="1F4E79"/>
        </w:rPr>
        <w:t>スライド 32　質問（セクション表紙）</w:t>
      </w:r>
    </w:p>
    <w:p>
      <w:pPr>
        <w:spacing w:after="120" w:line="324" w:lineRule="auto"/>
      </w:pPr>
      <w:r>
        <w:rPr>
          <w:rFonts w:ascii="Yu Gothic" w:hAnsi="Yu Gothic" w:eastAsia="Yu Gothic"/>
          <w:b w:val="0"/>
          <w:i w:val="0"/>
          <w:sz w:val="22"/>
        </w:rPr>
        <w:t>最後に、本日ご確認・ご助言いただきたい事項です。</w:t>
      </w:r>
    </w:p>
    <w:p>
      <w:pPr>
        <w:pStyle w:val="Heading2"/>
      </w:pPr>
      <w:r>
        <w:rPr>
          <w:rFonts w:ascii="Yu Gothic" w:hAnsi="Yu Gothic" w:eastAsia="Yu Gothic"/>
          <w:color w:val="1F4E79"/>
        </w:rPr>
        <w:t>スライド 33　質問リスト</w:t>
      </w:r>
    </w:p>
    <w:p>
      <w:pPr>
        <w:spacing w:after="120" w:line="324" w:lineRule="auto"/>
      </w:pPr>
      <w:r>
        <w:rPr>
          <w:rFonts w:ascii="Yu Gothic" w:hAnsi="Yu Gothic" w:eastAsia="Yu Gothic"/>
          <w:b w:val="0"/>
          <w:i w:val="0"/>
          <w:sz w:val="22"/>
        </w:rPr>
        <w:t>一点目です。樹脂体積は膨張している一方で、通液量および通液時間にはほとんど変化がなく、吸着性能は低下していることから、ファウリングの発生が示唆されます。この場合、空隙率eps_bは固定し、孔隙率eps_pをフィッティング対象とする方が妥当でしょうか。また、通液時間や通液量がほとんど変化しない要因として、通液圧力による樹脂層の圧縮が考えられますが、この解釈でよいでしょうか。二点目です。アニオン塔においてFAEEの分解反応をモデルに組み込む際、注意すべき点はあるでしょうか。特に、可逆反応として考慮すべきかどうか、ご意見を伺えれば幸いです。</w:t>
      </w:r>
    </w:p>
    <w:p>
      <w:pPr>
        <w:pStyle w:val="Heading2"/>
      </w:pPr>
      <w:r>
        <w:rPr>
          <w:rFonts w:ascii="Yu Gothic" w:hAnsi="Yu Gothic" w:eastAsia="Yu Gothic"/>
          <w:color w:val="1F4E79"/>
        </w:rPr>
        <w:t>スライド 34　ご清聴ありがとうございました</w:t>
      </w:r>
    </w:p>
    <w:p>
      <w:pPr>
        <w:spacing w:after="120" w:line="324" w:lineRule="auto"/>
      </w:pPr>
      <w:r>
        <w:rPr>
          <w:rFonts w:ascii="Yu Gothic" w:hAnsi="Yu Gothic" w:eastAsia="Yu Gothic"/>
          <w:b w:val="0"/>
          <w:i w:val="0"/>
          <w:sz w:val="22"/>
        </w:rPr>
        <w:t>以上で説明を終わります。ご清聴ありがとうございました。ご質問やご指摘をいただけますと幸いです。</w:t>
      </w:r>
    </w:p>
    <w:p>
      <w:pPr>
        <w:pStyle w:val="Heading1"/>
      </w:pPr>
      <w:r>
        <w:rPr>
          <w:rFonts w:ascii="Yu Gothic" w:hAnsi="Yu Gothic" w:eastAsia="Yu Gothic"/>
          <w:color w:val="1F4E79"/>
        </w:rPr>
        <w:t>補足（必要に応じて）</w:t>
      </w:r>
    </w:p>
    <w:p>
      <w:pPr>
        <w:spacing w:after="120" w:line="324" w:lineRule="auto"/>
      </w:pPr>
      <w:r>
        <w:rPr>
          <w:rFonts w:ascii="Yu Gothic" w:hAnsi="Yu Gothic" w:eastAsia="Yu Gothic"/>
          <w:b w:val="0"/>
          <w:i w:val="0"/>
          <w:sz w:val="22"/>
        </w:rPr>
        <w:t>補足資料として、単ロット学習結果（ESX002、ESX003、ESX004、ESX006、ESX012）、モデルパラメータの感度分析、廣森先生の論文データ、脂肪酸組成に基づく分析データ加工を添付しています。質疑の中で必要に応じてご説明します。</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