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Latest Repository Testing and Acceptance Report</w:t>
      </w:r>
    </w:p>
    <w:p>
      <w:r>
        <w:t>Group 42   Multi Agent Assistance System   Version 3.6</w:t>
      </w:r>
    </w:p>
    <w:p>
      <w:r>
        <w:t>The local recommendation fixes passed all 44 frozen cases: 24 structured matches, 8 evidence projections and 12 deployed dialogue turns. All eight previously failed turns now pass. Independent checks found zero hard-requirement violations in 36 displayed verified occurrences. DEF09 to DEF12 are verified on the local patch; five earlier issue groups remain open. GitHub integration and final system acceptance remain PENDING.</w:t>
      </w:r>
    </w:p>
    <w:p>
      <w:r>
        <w:t>Base source 89131897f56bbc176c30246a451f118f7de0209f was pinned and 410 available blobs matched Git object hashes. The 21 October 2026 local remediation changes six existing files and adds four files. Patch SHA256 d26533c3f606fb5bc6c71be66db901e142591c2507b950cfff83bc023aee285e. This patch has not been pushed to GitHub.</w:t>
      </w:r>
    </w:p>
    <w:p>
      <w:pPr>
        <w:pStyle w:val="Heading2"/>
      </w:pPr>
      <w:r>
        <w:t>Execution scope</w:t>
      </w:r>
    </w:p>
    <w:p>
      <w:r>
        <w:t>Earlier scripted, retrieval and real-model results retain their recorded scopes. This revision adds a local code fix and repeats the identical 44-case recommendation-fit catalogue against the same SQL and Neo4j snapshot, retained retrieval indexes and actual ClinePass model. Existing test assertions were preserved and 26 supporting regression checks were added. Participant UAT remains NOT_RUN.</w:t>
      </w:r>
    </w:p>
    <w:tbl>
      <w:tblPr>
        <w:tblW w:type="auto" w:w="0"/>
        <w:tblLayout w:type="fixed"/>
        <w:tblLook w:firstColumn="1" w:firstRow="1" w:lastColumn="0" w:lastRow="0" w:noHBand="0" w:noVBand="1" w:val="04A0"/>
      </w:tblPr>
      <w:tblGrid>
        <w:gridCol w:w="2952"/>
        <w:gridCol w:w="3240"/>
        <w:gridCol w:w="4032"/>
      </w:tblGrid>
      <w:tr>
        <w:trPr>
          <w:cantSplit/>
          <w:tblHeader/>
        </w:trPr>
        <w:tc>
          <w:tcPr>
            <w:tcW w:type="dxa" w:w="2952"/>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Recorded profile</w:t>
            </w:r>
          </w:p>
        </w:tc>
        <w:tc>
          <w:tcPr>
            <w:tcW w:type="dxa" w:w="3240"/>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Observed result</w:t>
            </w:r>
          </w:p>
        </w:tc>
        <w:tc>
          <w:tcPr>
            <w:tcW w:type="dxa" w:w="4032"/>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Evidence</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Base source and local patch</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410 base blobs; 71-file provenance with one declared patch; typechecks pass</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recommendation_fit_fix/source-parity.json; upstream-patch-check.log</w:t>
            </w:r>
          </w:p>
        </w:tc>
      </w:tr>
      <w:tr>
        <w:trPr>
          <w:cantSplit/>
        </w:trPr>
        <w:tc>
          <w:tcPr>
            <w:tcW w:type="dxa" w:w="295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TypeScript local retest</w:t>
            </w:r>
          </w:p>
        </w:tc>
        <w:tc>
          <w:tcPr>
            <w:tcW w:type="dxa" w:w="324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168 passed; 19 skipped</w:t>
            </w:r>
          </w:p>
        </w:tc>
        <w:tc>
          <w:tcPr>
            <w:tcW w:type="dxa" w:w="403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recommendation_fit_fix/typescript-full.log</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Python profiles</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216 passed / 3 skipped latest; earlier PostgreSQL 157 / 1</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recommendation_fit_fix/python-full.log; python-data-postgres.log</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Retrieval follow up</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8 passed; zero failed or skipped; no model calls</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retrieval-tests.log; retrieval-acceptance.json</w:t>
            </w:r>
          </w:p>
        </w:tc>
      </w:tr>
      <w:tr>
        <w:trPr>
          <w:cantSplit/>
        </w:trPr>
        <w:tc>
          <w:tcPr>
            <w:tcW w:type="dxa" w:w="295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PostgreSQL behavior</w:t>
            </w:r>
          </w:p>
        </w:tc>
        <w:tc>
          <w:tcPr>
            <w:tcW w:type="dxa" w:w="324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 persistence tests; 18 follow-up tests; reply continuity passed</w:t>
            </w:r>
          </w:p>
        </w:tc>
        <w:tc>
          <w:tcPr>
            <w:tcW w:type="dxa" w:w="403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postgres-session.log; followup-postgres-final.log; reply-continuity-retest.log</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Full data consistency</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CLI and original live test pass sequentially</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verification-report.json; python-full-stack-sequential.log</w:t>
            </w:r>
          </w:p>
        </w:tc>
      </w:tr>
      <w:tr>
        <w:trPr>
          <w:cantSplit/>
        </w:trPr>
        <w:tc>
          <w:tcPr>
            <w:tcW w:type="dxa" w:w="295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Native data and geography</w:t>
            </w:r>
          </w:p>
        </w:tc>
        <w:tc>
          <w:tcPr>
            <w:tcW w:type="dxa" w:w="324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7 scalar cases; 1 geographic oracle passed</w:t>
            </w:r>
          </w:p>
        </w:tc>
        <w:tc>
          <w:tcPr>
            <w:tcW w:type="dxa" w:w="403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native-sql-acceptance.json; native-geographic-oracle.json</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Workflow and browser</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Scripted integration and desktop/mobile checks passed</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qa-native-scripted.json; native-ui.json</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Live hybrid retrieval</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40 queries and 18 integration checks passed</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live-retrieval-acceptance.json</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Fit local retest</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Structured 24/24; projection 8/8; dialogue 12/12 PASS</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recommendation_fit_fix/acceptance-summary.json</w:t>
            </w:r>
          </w:p>
        </w:tc>
      </w:tr>
    </w:tbl>
    <w:p>
      <w:pPr>
        <w:spacing w:after="0"/>
      </w:pPr>
    </w:p>
    <w:p>
      <w:r>
        <w:t>Profiles overlap and must not be combined into a system accuracy rate. The 44 fit cases include 12 dependent dialogue turns across four authored personas. Their original baseline was 36 PASS and 8 FAIL; the local retest is 44 PASS. Neither run estimates population accuracy or participant satisfaction.</w:t>
      </w:r>
    </w:p>
    <w:p>
      <w:r>
        <w:br w:type="page"/>
      </w:r>
    </w:p>
    <w:p>
      <w:pPr>
        <w:pStyle w:val="Heading1"/>
      </w:pPr>
      <w:r>
        <w:t>Full data and independent recommendation results</w:t>
      </w:r>
    </w:p>
    <w:p>
      <w:r>
        <w:t>The immutable 9 October snapshot contains 21,431 rental listings, 4,657 agents, 418,700 image records and zero price history rows. A new PostgreSQL import matched these counts. SQLite integrity returned ok and its SHA256 matched the previous upload. The database contains 585 negative bedroom sentinels; canonical reads must normalize them to unknown. Coordinates are known for 8,631 listings and missing for 12,800. Floor area is missing for 8,352 listings.</w:t>
      </w:r>
    </w:p>
    <w:p>
      <w:r>
        <w:t>The independent oracle read the real PostgreSQL source in a read only transaction and calculated groups and ordering without importing the application scoring code. Each scenario assessed all 21,431 rental rows.</w:t>
      </w:r>
    </w:p>
    <w:tbl>
      <w:tblPr>
        <w:tblW w:type="auto" w:w="0"/>
        <w:tblLayout w:type="fixed"/>
        <w:tblLook w:firstColumn="1" w:firstRow="1" w:lastColumn="0" w:lastRow="0" w:noHBand="0" w:noVBand="1" w:val="04A0"/>
      </w:tblPr>
      <w:tblGrid>
        <w:gridCol w:w="720"/>
        <w:gridCol w:w="4608"/>
        <w:gridCol w:w="1512"/>
        <w:gridCol w:w="1584"/>
        <w:gridCol w:w="1800"/>
      </w:tblGrid>
      <w:tr>
        <w:trPr>
          <w:cantSplit/>
          <w:tblHeader/>
        </w:trPr>
        <w:tc>
          <w:tcPr>
            <w:tcW w:type="dxa" w:w="720"/>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Case</w:t>
            </w:r>
          </w:p>
        </w:tc>
        <w:tc>
          <w:tcPr>
            <w:tcW w:type="dxa" w:w="4608"/>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Scenario</w:t>
            </w:r>
          </w:p>
        </w:tc>
        <w:tc>
          <w:tcPr>
            <w:tcW w:type="dxa" w:w="1512"/>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Eligible</w:t>
            </w:r>
          </w:p>
        </w:tc>
        <w:tc>
          <w:tcPr>
            <w:tcW w:type="dxa" w:w="1584"/>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Unknown</w:t>
            </w:r>
          </w:p>
        </w:tc>
        <w:tc>
          <w:tcPr>
            <w:tcW w:type="dxa" w:w="1800"/>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Excluded</w:t>
            </w:r>
          </w:p>
        </w:tc>
      </w:tr>
      <w:tr>
        <w:trPr>
          <w:cantSplit/>
        </w:trPr>
        <w:tc>
          <w:tcPr>
            <w:tcW w:type="dxa" w:w="72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N01</w:t>
            </w:r>
          </w:p>
        </w:tc>
        <w:tc>
          <w:tcPr>
            <w:tcW w:type="dxa" w:w="4608"/>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Rent at most SGD 5000, at least 2 bedrooms, D05</w:t>
            </w:r>
          </w:p>
        </w:tc>
        <w:tc>
          <w:tcPr>
            <w:tcW w:type="dxa" w:w="151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161</w:t>
            </w:r>
          </w:p>
        </w:tc>
        <w:tc>
          <w:tcPr>
            <w:tcW w:type="dxa" w:w="158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6</w:t>
            </w:r>
          </w:p>
        </w:tc>
        <w:tc>
          <w:tcPr>
            <w:tcW w:type="dxa" w:w="180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21264</w:t>
            </w:r>
          </w:p>
        </w:tc>
      </w:tr>
      <w:tr>
        <w:trPr>
          <w:cantSplit/>
        </w:trPr>
        <w:tc>
          <w:tcPr>
            <w:tcW w:type="dxa" w:w="72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N02</w:t>
            </w:r>
          </w:p>
        </w:tc>
        <w:tc>
          <w:tcPr>
            <w:tcW w:type="dxa" w:w="4608"/>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N01 with rent cap reduced to SGD 4500</w:t>
            </w:r>
          </w:p>
        </w:tc>
        <w:tc>
          <w:tcPr>
            <w:tcW w:type="dxa" w:w="151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129</w:t>
            </w:r>
          </w:p>
        </w:tc>
        <w:tc>
          <w:tcPr>
            <w:tcW w:type="dxa" w:w="1584"/>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6</w:t>
            </w:r>
          </w:p>
        </w:tc>
        <w:tc>
          <w:tcPr>
            <w:tcW w:type="dxa" w:w="180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21296</w:t>
            </w:r>
          </w:p>
        </w:tc>
      </w:tr>
      <w:tr>
        <w:trPr>
          <w:cantSplit/>
        </w:trPr>
        <w:tc>
          <w:tcPr>
            <w:tcW w:type="dxa" w:w="72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N03</w:t>
            </w:r>
          </w:p>
        </w:tc>
        <w:tc>
          <w:tcPr>
            <w:tcW w:type="dxa" w:w="4608"/>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Rent at most SGD 1</w:t>
            </w:r>
          </w:p>
        </w:tc>
        <w:tc>
          <w:tcPr>
            <w:tcW w:type="dxa" w:w="151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w:t>
            </w:r>
          </w:p>
        </w:tc>
        <w:tc>
          <w:tcPr>
            <w:tcW w:type="dxa" w:w="158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w:t>
            </w:r>
          </w:p>
        </w:tc>
        <w:tc>
          <w:tcPr>
            <w:tcW w:type="dxa" w:w="180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21431</w:t>
            </w:r>
          </w:p>
        </w:tc>
      </w:tr>
      <w:tr>
        <w:trPr>
          <w:cantSplit/>
        </w:trPr>
        <w:tc>
          <w:tcPr>
            <w:tcW w:type="dxa" w:w="72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N04</w:t>
            </w:r>
          </w:p>
        </w:tc>
        <w:tc>
          <w:tcPr>
            <w:tcW w:type="dxa" w:w="4608"/>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Rent at most SGD 3000; soft preference for D05</w:t>
            </w:r>
          </w:p>
        </w:tc>
        <w:tc>
          <w:tcPr>
            <w:tcW w:type="dxa" w:w="151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9793</w:t>
            </w:r>
          </w:p>
        </w:tc>
        <w:tc>
          <w:tcPr>
            <w:tcW w:type="dxa" w:w="1584"/>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w:t>
            </w:r>
          </w:p>
        </w:tc>
        <w:tc>
          <w:tcPr>
            <w:tcW w:type="dxa" w:w="180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11638</w:t>
            </w:r>
          </w:p>
        </w:tc>
      </w:tr>
      <w:tr>
        <w:trPr>
          <w:cantSplit/>
        </w:trPr>
        <w:tc>
          <w:tcPr>
            <w:tcW w:type="dxa" w:w="72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N05</w:t>
            </w:r>
          </w:p>
        </w:tc>
        <w:tc>
          <w:tcPr>
            <w:tcW w:type="dxa" w:w="4608"/>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At least 2 bedrooms and 800 sqft</w:t>
            </w:r>
          </w:p>
        </w:tc>
        <w:tc>
          <w:tcPr>
            <w:tcW w:type="dxa" w:w="151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8418</w:t>
            </w:r>
          </w:p>
        </w:tc>
        <w:tc>
          <w:tcPr>
            <w:tcW w:type="dxa" w:w="158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4</w:t>
            </w:r>
          </w:p>
        </w:tc>
        <w:tc>
          <w:tcPr>
            <w:tcW w:type="dxa" w:w="180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13009</w:t>
            </w:r>
          </w:p>
        </w:tc>
      </w:tr>
      <w:tr>
        <w:trPr>
          <w:cantSplit/>
        </w:trPr>
        <w:tc>
          <w:tcPr>
            <w:tcW w:type="dxa" w:w="72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N06</w:t>
            </w:r>
          </w:p>
        </w:tc>
        <w:tc>
          <w:tcPr>
            <w:tcW w:type="dxa" w:w="4608"/>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Fully furnished required; unsupported evidence</w:t>
            </w:r>
          </w:p>
        </w:tc>
        <w:tc>
          <w:tcPr>
            <w:tcW w:type="dxa" w:w="151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w:t>
            </w:r>
          </w:p>
        </w:tc>
        <w:tc>
          <w:tcPr>
            <w:tcW w:type="dxa" w:w="1584"/>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21431</w:t>
            </w:r>
          </w:p>
        </w:tc>
        <w:tc>
          <w:tcPr>
            <w:tcW w:type="dxa" w:w="180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w:t>
            </w:r>
          </w:p>
        </w:tc>
      </w:tr>
      <w:tr>
        <w:trPr>
          <w:cantSplit/>
        </w:trPr>
        <w:tc>
          <w:tcPr>
            <w:tcW w:type="dxa" w:w="72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N07</w:t>
            </w:r>
          </w:p>
        </w:tc>
        <w:tc>
          <w:tcPr>
            <w:tcW w:type="dxa" w:w="4608"/>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N01 with one verified result requested</w:t>
            </w:r>
          </w:p>
        </w:tc>
        <w:tc>
          <w:tcPr>
            <w:tcW w:type="dxa" w:w="151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161</w:t>
            </w:r>
          </w:p>
        </w:tc>
        <w:tc>
          <w:tcPr>
            <w:tcW w:type="dxa" w:w="158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6</w:t>
            </w:r>
          </w:p>
        </w:tc>
        <w:tc>
          <w:tcPr>
            <w:tcW w:type="dxa" w:w="180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21264</w:t>
            </w:r>
          </w:p>
        </w:tc>
      </w:tr>
    </w:tbl>
    <w:p>
      <w:pPr>
        <w:spacing w:after="0"/>
      </w:pPr>
    </w:p>
    <w:p>
      <w:pPr>
        <w:pStyle w:val="Heading2"/>
      </w:pPr>
      <w:r>
        <w:t>What the ranking means</w:t>
      </w:r>
    </w:p>
    <w:p>
      <w:r>
        <w:t>For N01 the native first four IDs are 12885293, 18074957, 18689152 and 18885948. With no soft preference or browsing history, scores tie and the native algorithm orders by listing ID as a string. This differs from the earlier baseline, which used price and numeric IDs. The current acceptance preserves the native order.</w:t>
      </w:r>
    </w:p>
    <w:p>
      <w:r>
        <w:t>N06 returns needs clarification, zero verified recommendations and 21,431 unverified candidates in its coverage count. The displayed unverified group is capped at four and has no native score. N07 requests one verified result and returns ID 12885293; the separate unverified group still has a maximum of four.</w:t>
      </w:r>
    </w:p>
    <w:p>
      <w:r>
        <w:t>For all seven scenarios, group counts, every displayed ID, scalar soft scores, replay and changed body conflicts matched the expected result. Separate requests also verified rejection of an invalid service token, a result limit above four and a stale native reference.</w:t>
      </w:r>
    </w:p>
    <w:p>
      <w:r>
        <w:br w:type="page"/>
      </w:r>
    </w:p>
    <w:p>
      <w:pPr>
        <w:pStyle w:val="Heading1"/>
      </w:pPr>
      <w:r>
        <w:t>Service and browser acceptance</w:t>
      </w:r>
    </w:p>
    <w:p>
      <w:pPr>
        <w:pStyle w:val="Heading2"/>
      </w:pPr>
      <w:r>
        <w:t>Graph and data service</w:t>
      </w:r>
    </w:p>
    <w:p>
      <w:r>
        <w:t>Fresh Neo4j 5.26.32 imported 21,431 listings and 3,716 mapped public places, with 710,468 NEAR_PLACE relations. Full checks found zero stale, missing or duplicate proximity edges. HTTP pagination returned all 21,431 IDs; detail, image and context checks covered four selected listings. Official catalog projection contains 55 planning areas, five regions, 188 stations and 613 named exits.</w:t>
      </w:r>
    </w:p>
    <w:p>
      <w:pPr>
        <w:pStyle w:val="Heading2"/>
      </w:pPr>
      <w:r>
        <w:t>Independent geographic oracle</w:t>
      </w:r>
    </w:p>
    <w:p>
      <w:r>
        <w:t>The NUS case required rent at most SGD 3000, district D05 and straight line distance at most 3 km. Independent coordinate calculations found 180 eligible listings. Native IDs 500281070, 60094463, 500228649 and 500262756 matched the expected order and scores. Adding an unsupported private bathroom requirement moved displayed candidates to unverified while preserving the original native response.</w:t>
      </w:r>
    </w:p>
    <w:p>
      <w:pPr>
        <w:pStyle w:val="Heading2"/>
      </w:pPr>
      <w:r>
        <w:t>Workflow and correspondence</w:t>
      </w:r>
    </w:p>
    <w:p>
      <w:r>
        <w:t>The earlier scripted application harness matched independent eligibility, duration based implicit scores and stable order. It verified explanation and summary routing, viewing drafts, feedback versioning, immutable replay and recovery after a native commit that the UI had not adopted. PostgreSQL component tests used controlled fixtures and fake delivery providers. That profile skipped the model reply subtest. The subsequent real model retest passed as recorded below.</w:t>
      </w:r>
    </w:p>
    <w:p>
      <w:pPr>
        <w:pStyle w:val="Heading2"/>
      </w:pPr>
      <w:r>
        <w:t>Browser and presentation</w:t>
      </w:r>
    </w:p>
    <w:p>
      <w:r>
        <w:t>The original browser script also passed with the real model controller at desktop width 1480 and mobile width 390, with zero JavaScript errors and no horizontal overflow in the checked mobile state. Five check groups cover cards, explanation, manual SAMPLE feedback, reranking and viewing drafts. Four additional Playwright knowledge checks passed, including citation expansion and answer persistence after reload. Earlier canonical SQL presentation checks retain their original scope.</w:t>
      </w:r>
    </w:p>
    <w:p>
      <w:pPr>
        <w:pStyle w:val="Heading2"/>
      </w:pPr>
      <w:r>
        <w:t>Environment observation</w:t>
      </w:r>
    </w:p>
    <w:p>
      <w:r>
        <w:t>Docker was limited to one CPU and approximately 970 MiB RAM; Neo4j used a 256 MiB heap and 64 MiB page cache. Concurrent full validators hit the repository 30 second transaction timeout. The same unmodified CLI and repository live test then passed sequentially. This supports running these checks serially on this environment; it is not capacity or concurrency acceptance.</w:t>
      </w:r>
    </w:p>
    <w:p>
      <w:pPr>
        <w:pStyle w:val="Heading2"/>
      </w:pPr>
      <w:r>
        <w:t>Evidence boundaries</w:t>
      </w:r>
    </w:p>
    <w:p>
      <w:r>
        <w:t>Graph distances describe straight line evidence. They do not establish walking or transit travel time. The listing snapshot is historical and does not prove current availability, a private bathroom or a lease term. Unsupported hard conditions must remain unresolved rather than be treated as satisfied.</w:t>
      </w:r>
    </w:p>
    <w:p>
      <w:r>
        <w:t>Automated browser checks and simulated correspondence are technical acceptance evidence. They do not represent participation by a real estate professional or customer. No real message was sent and no booking was made.</w:t>
      </w:r>
    </w:p>
    <w:p>
      <w:r>
        <w:br w:type="page"/>
      </w:r>
    </w:p>
    <w:p>
      <w:pPr>
        <w:pStyle w:val="Heading1"/>
      </w:pPr>
      <w:r>
        <w:t>Retrieval tests without model calls</w:t>
      </w:r>
    </w:p>
    <w:p>
      <w:r>
        <w:t>All eight original tests in tests/test_retrieval.py passed on 21 October 2026. No test assertion or production source was changed. This follow up closes the previously omitted unit test work; the earlier profiles retain their original counts and were not rerun.</w:t>
      </w:r>
    </w:p>
    <w:p>
      <w:r>
        <w:t>The real local corpus contains 8 reviewed Markdown documents and 40 chunks. load_corpus generated a temporary manifest for these tests. Only retrieval.hybrid.MANIFEST pointed to that fixture; the production manifest remained absent and no vector index was published.</w:t>
      </w:r>
    </w:p>
    <w:tbl>
      <w:tblPr>
        <w:tblW w:type="auto" w:w="0"/>
        <w:tblLayout w:type="fixed"/>
        <w:tblLook w:firstColumn="1" w:firstRow="1" w:lastColumn="0" w:lastRow="0" w:noHBand="0" w:noVBand="1" w:val="04A0"/>
      </w:tblPr>
      <w:tblGrid>
        <w:gridCol w:w="792"/>
        <w:gridCol w:w="3024"/>
        <w:gridCol w:w="6408"/>
      </w:tblGrid>
      <w:tr>
        <w:trPr>
          <w:cantSplit/>
          <w:tblHeader/>
        </w:trPr>
        <w:tc>
          <w:tcPr>
            <w:tcW w:type="dxa" w:w="792"/>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Case</w:t>
            </w:r>
          </w:p>
        </w:tc>
        <w:tc>
          <w:tcPr>
            <w:tcW w:type="dxa" w:w="3024"/>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Check</w:t>
            </w:r>
          </w:p>
        </w:tc>
        <w:tc>
          <w:tcPr>
            <w:tcW w:type="dxa" w:w="6408"/>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Observed result</w:t>
            </w:r>
          </w:p>
        </w:tc>
      </w:tr>
      <w:tr>
        <w:trPr>
          <w:cantSplit/>
        </w:trPr>
        <w:tc>
          <w:tcPr>
            <w:tcW w:type="dxa" w:w="792"/>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RT01</w:t>
            </w:r>
          </w:p>
        </w:tc>
        <w:tc>
          <w:tcPr>
            <w:tcW w:type="dxa" w:w="3024"/>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Chunk size and sentence preservation</w:t>
            </w:r>
          </w:p>
        </w:tc>
        <w:tc>
          <w:tcPr>
            <w:tcW w:type="dxa" w:w="6408"/>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Length limit and exact body preservation assertions passed.</w:t>
            </w:r>
          </w:p>
        </w:tc>
      </w:tr>
      <w:tr>
        <w:trPr>
          <w:cantSplit/>
        </w:trPr>
        <w:tc>
          <w:tcPr>
            <w:tcW w:type="dxa" w:w="792"/>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RT02</w:t>
            </w:r>
          </w:p>
        </w:tc>
        <w:tc>
          <w:tcPr>
            <w:tcW w:type="dxa" w:w="3024"/>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Real corpus metadata and review dates</w:t>
            </w:r>
          </w:p>
        </w:tc>
        <w:tc>
          <w:tcPr>
            <w:tcW w:type="dxa" w:w="6408"/>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8 documents and 40 chunks; source, repeat generation and expired date checks passed.</w:t>
            </w:r>
          </w:p>
        </w:tc>
      </w:tr>
      <w:tr>
        <w:trPr>
          <w:cantSplit/>
        </w:trPr>
        <w:tc>
          <w:tcPr>
            <w:tcW w:type="dxa" w:w="792"/>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RT03</w:t>
            </w:r>
          </w:p>
        </w:tc>
        <w:tc>
          <w:tcPr>
            <w:tcW w:type="dxa" w:w="3024"/>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Source allowlist rejection</w:t>
            </w:r>
          </w:p>
        </w:tc>
        <w:tc>
          <w:tcPr>
            <w:tcW w:type="dxa" w:w="6408"/>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All three prohibited source forms were rejected.</w:t>
            </w:r>
          </w:p>
        </w:tc>
      </w:tr>
      <w:tr>
        <w:trPr>
          <w:cantSplit/>
        </w:trPr>
        <w:tc>
          <w:tcPr>
            <w:tcW w:type="dxa" w:w="792"/>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RT04</w:t>
            </w:r>
          </w:p>
        </w:tc>
        <w:tc>
          <w:tcPr>
            <w:tcW w:type="dxa" w:w="3024"/>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RRF ranks and duplicate handling</w:t>
            </w:r>
          </w:p>
        </w:tc>
        <w:tc>
          <w:tcPr>
            <w:tcW w:type="dxa" w:w="6408"/>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First rank and both numerical score assertions passed; repeated a was counted once.</w:t>
            </w:r>
          </w:p>
        </w:tc>
      </w:tr>
      <w:tr>
        <w:trPr>
          <w:cantSplit/>
        </w:trPr>
        <w:tc>
          <w:tcPr>
            <w:tcW w:type="dxa" w:w="792"/>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RT05</w:t>
            </w:r>
          </w:p>
        </w:tc>
        <w:tc>
          <w:tcPr>
            <w:tcW w:type="dxa" w:w="3024"/>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English and Chinese lexical synonyms</w:t>
            </w:r>
          </w:p>
        </w:tc>
        <w:tc>
          <w:tcPr>
            <w:tcW w:type="dxa" w:w="6408"/>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Both required synonym tokens were present in the production tokenizer output.</w:t>
            </w:r>
          </w:p>
        </w:tc>
      </w:tr>
      <w:tr>
        <w:trPr>
          <w:cantSplit/>
        </w:trPr>
        <w:tc>
          <w:tcPr>
            <w:tcW w:type="dxa" w:w="792"/>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RT06</w:t>
            </w:r>
          </w:p>
        </w:tc>
        <w:tc>
          <w:tcPr>
            <w:tcW w:type="dxa" w:w="3024"/>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Embedding model mismatch guard</w:t>
            </w:r>
          </w:p>
        </w:tc>
        <w:tc>
          <w:tcPr>
            <w:tcW w:type="dxa" w:w="6408"/>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The original assertion caught KNOWLEDGE_EMBEDDING_MODEL_MISMATCH.</w:t>
            </w:r>
          </w:p>
        </w:tc>
      </w:tr>
      <w:tr>
        <w:trPr>
          <w:cantSplit/>
        </w:trPr>
        <w:tc>
          <w:tcPr>
            <w:tcW w:type="dxa" w:w="792"/>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RT07</w:t>
            </w:r>
          </w:p>
        </w:tc>
        <w:tc>
          <w:tcPr>
            <w:tcW w:type="dxa" w:w="3024"/>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Vector query outage with BM25 fallback</w:t>
            </w:r>
          </w:p>
        </w:tc>
        <w:tc>
          <w:tcPr>
            <w:tcW w:type="dxa" w:w="6408"/>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vector_enabled=false; bm25_enabled=true; 5 chunks returned; vector_unavailable recorded.</w:t>
            </w:r>
          </w:p>
        </w:tc>
      </w:tr>
      <w:tr>
        <w:trPr>
          <w:cantSplit/>
        </w:trPr>
        <w:tc>
          <w:tcPr>
            <w:tcW w:type="dxa" w:w="792"/>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RT08</w:t>
            </w:r>
          </w:p>
        </w:tc>
        <w:tc>
          <w:tcPr>
            <w:tcW w:type="dxa" w:w="3024"/>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Chroma connection outage with BM25 fallback</w:t>
            </w:r>
          </w:p>
        </w:tc>
        <w:tc>
          <w:tcPr>
            <w:tcW w:type="dxa" w:w="6408"/>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vector_enabled=false; bm25_enabled=true; 5 chunks returned; vector_unavailable recorded.</w:t>
            </w:r>
          </w:p>
        </w:tc>
      </w:tr>
    </w:tbl>
    <w:p/>
    <w:p>
      <w:pPr>
        <w:pStyle w:val="Heading2"/>
      </w:pPr>
      <w:r>
        <w:t>Controls and acceptance boundary</w:t>
      </w:r>
    </w:p>
    <w:p>
      <w:r>
        <w:t>Socket connections and DNS, embedding calls and initialization, ONNX sessions and real Chroma clients were blocked. All guarded attempt counts were zero. No model cache or production source changed. The two vector outage cases inject failures through their original mocks; BM25, tokenization, chunking and RRF use the real repository code and installed libraries.</w:t>
      </w:r>
    </w:p>
    <w:p>
      <w:r>
        <w:t>This offline profile did not verify successful vector retrieval, embedding quality or policy currency. Live integration was NOT_RUN at completion of that profile. The subsequent real retrieval and Cline access results are reported on the next page. Offline evidence remains retrieval-acceptance.json, retrieval-junit.xml and retrieval-tests.log.</w:t>
      </w:r>
    </w:p>
    <w:p>
      <w:r>
        <w:br w:type="page"/>
      </w:r>
    </w:p>
    <w:p>
      <w:pPr>
        <w:pStyle w:val="Heading1"/>
      </w:pPr>
      <w:r>
        <w:t>Live retrieval and ClinePass access</w:t>
      </w:r>
    </w:p>
    <w:p>
      <w:r>
        <w:t>The new retrieval profile uses real local Chroma 0.5.23, FastEmbed 0.7.4 and the configured multilingual MiniLM model. It stores 40 knowledge vectors and 42 intent template vectors. Readback verified the exact knowledge IDs, generation, 384 dimensions, finite values and unit norms. The indexed knowledge consists only of the eight source documents.</w:t>
      </w:r>
    </w:p>
    <w:tbl>
      <w:tblPr>
        <w:tblW w:type="auto" w:w="0"/>
        <w:tblLayout w:type="fixed"/>
        <w:tblLook w:firstColumn="1" w:firstRow="1" w:lastColumn="0" w:lastRow="0" w:noHBand="0" w:noVBand="1" w:val="04A0"/>
      </w:tblPr>
      <w:tblGrid>
        <w:gridCol w:w="1584"/>
        <w:gridCol w:w="2808"/>
        <w:gridCol w:w="2808"/>
        <w:gridCol w:w="3024"/>
      </w:tblGrid>
      <w:tr>
        <w:trPr>
          <w:cantSplit/>
          <w:tblHeader/>
        </w:trPr>
        <w:tc>
          <w:tcPr>
            <w:tcW w:type="dxa" w:w="1584"/>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Channel</w:t>
            </w:r>
          </w:p>
        </w:tc>
        <w:tc>
          <w:tcPr>
            <w:tcW w:type="dxa" w:w="2808"/>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Section recall at 5</w:t>
            </w:r>
          </w:p>
        </w:tc>
        <w:tc>
          <w:tcPr>
            <w:tcW w:type="dxa" w:w="2808"/>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Document recall at 5</w:t>
            </w:r>
          </w:p>
        </w:tc>
        <w:tc>
          <w:tcPr>
            <w:tcW w:type="dxa" w:w="3024"/>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Mean reciprocal rank</w:t>
            </w:r>
          </w:p>
        </w:tc>
      </w:tr>
      <w:tr>
        <w:trPr>
          <w:cantSplit/>
        </w:trPr>
        <w:tc>
          <w:tcPr>
            <w:tcW w:type="dxa" w:w="15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Vector</w:t>
            </w:r>
          </w:p>
        </w:tc>
        <w:tc>
          <w:tcPr>
            <w:tcW w:type="dxa" w:w="280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95.0%</w:t>
            </w:r>
          </w:p>
        </w:tc>
        <w:tc>
          <w:tcPr>
            <w:tcW w:type="dxa" w:w="280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95.0%</w:t>
            </w:r>
          </w:p>
        </w:tc>
        <w:tc>
          <w:tcPr>
            <w:tcW w:type="dxa" w:w="302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0.7933</w:t>
            </w:r>
          </w:p>
        </w:tc>
      </w:tr>
      <w:tr>
        <w:trPr>
          <w:cantSplit/>
        </w:trPr>
        <w:tc>
          <w:tcPr>
            <w:tcW w:type="dxa" w:w="1584"/>
            <w:vAlign w:val="center"/>
            <w:shd w:fill="F2F5F7"/>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BM25</w:t>
            </w:r>
          </w:p>
        </w:tc>
        <w:tc>
          <w:tcPr>
            <w:tcW w:type="dxa" w:w="2808"/>
            <w:vAlign w:val="center"/>
            <w:shd w:fill="F2F5F7"/>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95.0%</w:t>
            </w:r>
          </w:p>
        </w:tc>
        <w:tc>
          <w:tcPr>
            <w:tcW w:type="dxa" w:w="2808"/>
            <w:vAlign w:val="center"/>
            <w:shd w:fill="F2F5F7"/>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97.5%</w:t>
            </w:r>
          </w:p>
        </w:tc>
        <w:tc>
          <w:tcPr>
            <w:tcW w:type="dxa" w:w="3024"/>
            <w:vAlign w:val="center"/>
            <w:shd w:fill="F2F5F7"/>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0.8842</w:t>
            </w:r>
          </w:p>
        </w:tc>
      </w:tr>
      <w:tr>
        <w:trPr>
          <w:cantSplit/>
        </w:trPr>
        <w:tc>
          <w:tcPr>
            <w:tcW w:type="dxa" w:w="15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Fused</w:t>
            </w:r>
          </w:p>
        </w:tc>
        <w:tc>
          <w:tcPr>
            <w:tcW w:type="dxa" w:w="280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100.0%</w:t>
            </w:r>
          </w:p>
        </w:tc>
        <w:tc>
          <w:tcPr>
            <w:tcW w:type="dxa" w:w="280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100.0%</w:t>
            </w:r>
          </w:p>
        </w:tc>
        <w:tc>
          <w:tcPr>
            <w:tcW w:type="dxa" w:w="302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0.8833</w:t>
            </w:r>
          </w:p>
        </w:tc>
      </w:tr>
    </w:tbl>
    <w:p>
      <w:pPr>
        <w:spacing w:after="0"/>
      </w:pPr>
    </w:p>
    <w:p>
      <w:r>
        <w:t>The original 40 query evaluation passed its fused section recall threshold of 90%. All queries ran without channel degradation. An additional 18 integration checks passed, including six real HTTP searches, health, input and version rejection, vector readback and source identity. Three exact template queries checked intent HTTP plumbing. These template checks do not establish intent classification accuracy.</w:t>
      </w:r>
    </w:p>
    <w:p>
      <w:r>
        <w:t>The 40 questions are the repository evaluation set, not an independent holdout. The run assesses retrieval against the labelled corpus. It does not revalidate legal content or establish capacity. The separate chat answer evaluation is reported on the next page.</w:t>
      </w:r>
    </w:p>
    <w:p>
      <w:pPr>
        <w:pStyle w:val="Heading2"/>
      </w:pPr>
      <w:r>
        <w:t>ClinePass DeepSeek V4 1 Flash connection</w:t>
      </w:r>
    </w:p>
    <w:p>
      <w:r>
        <w:t>ClinePass uses the subscription model ID cline-pass/deepseek-v4.1-flash at https://api.cline.bot/api/v1/chat/completions. The same supplied credential returned G42_MODEL_OK in 1.91 seconds, with backend model deepseek/deepseek-v4.1-flash. The project model factory also completed its SDK probe with the transport adapter.</w:t>
      </w:r>
    </w:p>
    <w:tbl>
      <w:tblPr>
        <w:tblW w:type="auto" w:w="0"/>
        <w:tblLayout w:type="fixed"/>
        <w:tblLook w:firstColumn="1" w:firstRow="1" w:lastColumn="0" w:lastRow="0" w:noHBand="0" w:noVBand="1" w:val="04A0"/>
      </w:tblPr>
      <w:tblGrid>
        <w:gridCol w:w="2880"/>
        <w:gridCol w:w="1584"/>
        <w:gridCol w:w="2880"/>
        <w:gridCol w:w="2880"/>
      </w:tblGrid>
      <w:tr>
        <w:trPr>
          <w:cantSplit/>
          <w:tblHeader/>
        </w:trPr>
        <w:tc>
          <w:tcPr>
            <w:tcW w:type="dxa" w:w="2880"/>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Model access status</w:t>
            </w:r>
          </w:p>
        </w:tc>
        <w:tc>
          <w:tcPr>
            <w:tcW w:type="dxa" w:w="1584"/>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HTTP status</w:t>
            </w:r>
          </w:p>
        </w:tc>
        <w:tc>
          <w:tcPr>
            <w:tcW w:type="dxa" w:w="2880"/>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Requests attempted</w:t>
            </w:r>
          </w:p>
        </w:tc>
        <w:tc>
          <w:tcPr>
            <w:tcW w:type="dxa" w:w="2880"/>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Model answers</w:t>
            </w:r>
          </w:p>
        </w:tc>
      </w:tr>
      <w:tr>
        <w:trPr>
          <w:cantSplit/>
        </w:trPr>
        <w:tc>
          <w:tcPr>
            <w:tcW w:type="dxa" w:w="288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w:t>
            </w:r>
          </w:p>
        </w:tc>
        <w:tc>
          <w:tcPr>
            <w:tcW w:type="dxa" w:w="15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200</w:t>
            </w:r>
          </w:p>
        </w:tc>
        <w:tc>
          <w:tcPr>
            <w:tcW w:type="dxa" w:w="288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w:t>
            </w:r>
          </w:p>
        </w:tc>
        <w:tc>
          <w:tcPr>
            <w:tcW w:type="dxa" w:w="288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w:t>
            </w:r>
          </w:p>
        </w:tc>
      </w:tr>
    </w:tbl>
    <w:p>
      <w:pPr>
        <w:spacing w:after="0"/>
      </w:pPr>
    </w:p>
    <w:p>
      <w:r>
        <w:t>The earlier HTTP 402 applied to the usage billing model ID deepseek/deepseek-v4.1-flash-1017. It did not establish exhaustion of the ClinePass subscription. The original rejected request remains in cline-model-access.json. The subscription response confirms V4.1 Flash, but does not identify a dated backend build.</w:t>
      </w:r>
    </w:p>
    <w:p>
      <w:pPr>
        <w:pStyle w:val="Heading2"/>
      </w:pPr>
      <w:r>
        <w:t>Environment and retained evidence</w:t>
      </w:r>
    </w:p>
    <w:p>
      <w:r>
        <w:t>Chroma ran as a native macOS loopback process. Its initial FastAPI 0.156 dependency rejected collection creation; a server only overlay pinned FastAPI 0.115.9 and Starlette 0.45.3. The unchanged client then indexed and searched successfully. The setup incident and exact model file hashes are retained. That retrieval phase changed no production source or earlier evidence.</w:t>
      </w:r>
    </w:p>
    <w:p>
      <w:r>
        <w:t>Evidence includes live-retrieval-acceptance.json, cline-pass-model-access.json and cline-live-acceptance.json. ClinePass routing is documented at https://docs.cline.bot/getting-started/clinepass. Credentials, model weights, database files and the large native candidate pool are excluded from the archive.</w:t>
      </w:r>
    </w:p>
    <w:p>
      <w:r>
        <w:br w:type="page"/>
      </w:r>
    </w:p>
    <w:p>
      <w:pPr>
        <w:pStyle w:val="Heading1"/>
      </w:pPr>
      <w:r>
        <w:t>Initial real model evaluation results</w:t>
      </w:r>
    </w:p>
    <w:p>
      <w:r>
        <w:t>These original repository tests ran in the initial ClinePass profile with actual DeepSeek V4.1 Flash completions and retained Chroma indexes. Cases and assertions were unchanged. The later extension is reported on the following pages. Neither profile estimates general model accuracy or replaces subject matter review.</w:t>
      </w:r>
    </w:p>
    <w:tbl>
      <w:tblPr>
        <w:tblW w:type="auto" w:w="0"/>
        <w:tblLayout w:type="fixed"/>
        <w:tblLook w:firstColumn="1" w:firstRow="1" w:lastColumn="0" w:lastRow="0" w:noHBand="0" w:noVBand="1" w:val="04A0"/>
      </w:tblPr>
      <w:tblGrid>
        <w:gridCol w:w="2088"/>
        <w:gridCol w:w="7056"/>
        <w:gridCol w:w="1080"/>
      </w:tblGrid>
      <w:tr>
        <w:trPr>
          <w:cantSplit/>
          <w:tblHeader/>
        </w:trPr>
        <w:tc>
          <w:tcPr>
            <w:tcW w:type="dxa" w:w="2088"/>
            <w:vAlign w:val="center"/>
            <w:shd w:fill="203C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color w:val="FFFFFF"/>
                <w:sz w:val="18"/>
              </w:rPr>
              <w:t>Evaluation</w:t>
            </w:r>
          </w:p>
        </w:tc>
        <w:tc>
          <w:tcPr>
            <w:tcW w:type="dxa" w:w="7056"/>
            <w:vAlign w:val="center"/>
            <w:shd w:fill="203C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color w:val="FFFFFF"/>
                <w:sz w:val="18"/>
              </w:rPr>
              <w:t>Observed result</w:t>
            </w:r>
          </w:p>
        </w:tc>
        <w:tc>
          <w:tcPr>
            <w:tcW w:type="dxa" w:w="1080"/>
            <w:vAlign w:val="center"/>
            <w:shd w:fill="203C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color w:val="FFFFFF"/>
                <w:sz w:val="18"/>
              </w:rPr>
              <w:t>Status</w:t>
            </w:r>
          </w:p>
        </w:tc>
      </w:tr>
      <w:tr>
        <w:trPr>
          <w:cantSplit/>
        </w:trPr>
        <w:tc>
          <w:tcPr>
            <w:tcW w:type="dxa" w:w="208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Configured intent</w:t>
            </w:r>
          </w:p>
        </w:tc>
        <w:tc>
          <w:tcPr>
            <w:tcW w:type="dxa" w:w="705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42/42 correct routes; 42 model and 42 vector successes; macro F1 1.000</w:t>
            </w:r>
          </w:p>
        </w:tc>
        <w:tc>
          <w:tcPr>
            <w:tcW w:type="dxa" w:w="108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PASS</w:t>
            </w:r>
          </w:p>
        </w:tc>
      </w:tr>
      <w:tr>
        <w:trPr>
          <w:cantSplit/>
        </w:trPr>
        <w:tc>
          <w:tcPr>
            <w:tcW w:type="dxa" w:w="2088"/>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Knowledge answers</w:t>
            </w:r>
          </w:p>
        </w:tc>
        <w:tc>
          <w:tcPr>
            <w:tcW w:type="dxa" w:w="7056"/>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21/22 satisfy original assertions; 20 grounded answers and 2 abstentions</w:t>
            </w:r>
          </w:p>
        </w:tc>
        <w:tc>
          <w:tcPr>
            <w:tcW w:type="dxa" w:w="1080"/>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FAIL</w:t>
            </w:r>
          </w:p>
        </w:tc>
      </w:tr>
      <w:tr>
        <w:trPr>
          <w:cantSplit/>
        </w:trPr>
        <w:tc>
          <w:tcPr>
            <w:tcW w:type="dxa" w:w="208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Business workflow</w:t>
            </w:r>
          </w:p>
        </w:tc>
        <w:tc>
          <w:tcPr>
            <w:tcW w:type="dxa" w:w="705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7 operations completed; owner isolation and overflow rejection passed</w:t>
            </w:r>
          </w:p>
        </w:tc>
        <w:tc>
          <w:tcPr>
            <w:tcW w:type="dxa" w:w="108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PASS</w:t>
            </w:r>
          </w:p>
        </w:tc>
      </w:tr>
      <w:tr>
        <w:trPr>
          <w:cantSplit/>
        </w:trPr>
        <w:tc>
          <w:tcPr>
            <w:tcW w:type="dxa" w:w="2088"/>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Reply continuity</w:t>
            </w:r>
          </w:p>
        </w:tc>
        <w:tc>
          <w:tcPr>
            <w:tcW w:type="dxa" w:w="7056"/>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2 Node tests passed, including the real model subtest</w:t>
            </w:r>
          </w:p>
        </w:tc>
        <w:tc>
          <w:tcPr>
            <w:tcW w:type="dxa" w:w="1080"/>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PASS</w:t>
            </w:r>
          </w:p>
        </w:tc>
      </w:tr>
    </w:tbl>
    <w:p>
      <w:pPr>
        <w:spacing w:after="0"/>
      </w:pPr>
    </w:p>
    <w:p>
      <w:pPr>
        <w:pStyle w:val="Heading2"/>
      </w:pPr>
      <w:r>
        <w:t>Provider configuration and first attempt</w:t>
      </w:r>
    </w:p>
    <w:p>
      <w:r>
        <w:t>The QA transport unwraps ClinePass success/data responses for the OpenAI compatible SDK and records requests and usage. The successful evaluation profile explicitly sends thinking disabled and reasoning disabled. It changes no business logic, answer or assertion. The original 256 token and 8 second intent limits remain. Production integration must carry equivalent provider handling.</w:t>
      </w:r>
    </w:p>
    <w:p>
      <w:r>
        <w:t>The first intent run used default reasoning. Its final routes were 42/42 correct, but only 40 model channels succeeded, so the original test failed. Records include three HTTP 500 responses and one length limited completion across retries. The configured retest passed without fallback. Both runs are retained.</w:t>
      </w:r>
    </w:p>
    <w:p>
      <w:pPr>
        <w:pStyle w:val="Heading2"/>
      </w:pPr>
      <w:r>
        <w:t>Open knowledge answer case</w:t>
      </w:r>
    </w:p>
    <w:p>
      <w:r>
        <w:t>DEF04 asks the assistant to guarantee a refund after a deposit payment. The system returned a generic unsupported response. It made no refund promise, but did not provide the explicit cited refusal required by the original test. All returned quotations matched corpus text, and no answer degraded to source excerpts. The suite remains FAIL at 21/22.</w:t>
      </w:r>
    </w:p>
    <w:p>
      <w:r>
        <w:t>The knowledge owner and QA reviewer should agree the intended refusal wording, improve its grounded explanation or formally approve a different expectation, and rerun the affected evaluation. This report does not weaken the test or mark the case accepted.</w:t>
      </w:r>
    </w:p>
    <w:p>
      <w:pPr>
        <w:pStyle w:val="Heading2"/>
      </w:pPr>
      <w:r>
        <w:t>Workflow evidence and recorded usage</w:t>
      </w:r>
    </w:p>
    <w:p>
      <w:r>
        <w:t>The live native controller made 4 model calls and executed all 4 recommendation tools against 21,431 canonical rental rows. Both workflow knowledge answers used llm_grounded_verified. Reply continuity used the successful NUS session as its fixture. External delivery stayed in simulation and the outbox was empty.</w:t>
      </w:r>
    </w:p>
    <w:p>
      <w:r>
        <w:t>The initial profile recorded 200 API attempts, including the earlier 402 and first intent run: 196 HTTP 200 model responses and 191,109 reported tokens. Its provider reference cost was USD 0.027280158. These are historical phase totals; additional usage is reported with the extension. Reference cost is not a verified subscription charge.</w:t>
      </w:r>
    </w:p>
    <w:p>
      <w:r>
        <w:br w:type="page"/>
      </w:r>
    </w:p>
    <w:p>
      <w:pPr>
        <w:pStyle w:val="Heading1"/>
      </w:pPr>
      <w:r>
        <w:t>Earlier extended test results</w:t>
      </w:r>
    </w:p>
    <w:p>
      <w:r>
        <w:t>The extension freezes 60 new intent inputs, 24 knowledge questions and 18 pasted-reply cases before execution. The SHA256 catalogue and timestamp are retained. None of the 60 intent inputs exactly duplicates the original 42 cases or 42 templates. Expectations come from the project corpus and contracts; this is an authored regression set, not an independent human-labelled holdout.</w:t>
      </w:r>
    </w:p>
    <w:tbl>
      <w:tblPr>
        <w:tblW w:type="auto" w:w="0"/>
        <w:tblLayout w:type="fixed"/>
        <w:tblLook w:firstColumn="1" w:firstRow="1" w:lastColumn="0" w:lastRow="0" w:noHBand="0" w:noVBand="1" w:val="04A0"/>
      </w:tblPr>
      <w:tblGrid>
        <w:gridCol w:w="1987"/>
        <w:gridCol w:w="7157"/>
        <w:gridCol w:w="1080"/>
      </w:tblGrid>
      <w:tr>
        <w:trPr>
          <w:cantSplit/>
          <w:tblHeader/>
        </w:trPr>
        <w:tc>
          <w:tcPr>
            <w:tcW w:type="dxa" w:w="1987"/>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New scope</w:t>
            </w:r>
          </w:p>
        </w:tc>
        <w:tc>
          <w:tcPr>
            <w:tcW w:type="dxa" w:w="7157"/>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Observed result</w:t>
            </w:r>
          </w:p>
        </w:tc>
        <w:tc>
          <w:tcPr>
            <w:tcW w:type="dxa" w:w="1080"/>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Status</w:t>
            </w:r>
          </w:p>
        </w:tc>
      </w:tr>
      <w:tr>
        <w:trPr>
          <w:cantSplit/>
        </w:trPr>
        <w:tc>
          <w:tcPr>
            <w:tcW w:type="dxa" w:w="198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Intent, 60 cases</w:t>
            </w:r>
          </w:p>
        </w:tc>
        <w:tc>
          <w:tcPr>
            <w:tcW w:type="dxa" w:w="71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59/60 correct; 60 model and 60 vector successes. Predeclared 95% threshold met; XI20 remains a miss.</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98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Knowledge, 24 cases</w:t>
            </w:r>
          </w:p>
        </w:tc>
        <w:tc>
          <w:tcPr>
            <w:tcW w:type="dxa" w:w="715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23/24 strict pass; 20 grounded answers and 4 abstentions. All returned quotations matched the corpus. XK23 has a degraded rerank flag.</w:t>
            </w:r>
          </w:p>
        </w:tc>
        <w:tc>
          <w:tcPr>
            <w:tcW w:type="dxa" w:w="108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r>
      <w:tr>
        <w:trPr>
          <w:cantSplit/>
        </w:trPr>
        <w:tc>
          <w:tcPr>
            <w:tcW w:type="dxa" w:w="198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Reply analysis, 18 cases</w:t>
            </w:r>
          </w:p>
        </w:tc>
        <w:tc>
          <w:tcPr>
            <w:tcW w:type="dxa" w:w="71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17/18; all 18 live model channels completed. XR05 loses an explicit English exclusive-bathroom claim.</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r>
      <w:tr>
        <w:trPr>
          <w:cantSplit/>
        </w:trPr>
        <w:tc>
          <w:tcPr>
            <w:tcW w:type="dxa" w:w="198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HTTP boundaries, 32 cases</w:t>
            </w:r>
          </w:p>
        </w:tc>
        <w:tc>
          <w:tcPr>
            <w:tcW w:type="dxa" w:w="715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30/32; unauthorized query requests are blocked but return 502 instead of 401/403.</w:t>
            </w:r>
          </w:p>
        </w:tc>
        <w:tc>
          <w:tcPr>
            <w:tcW w:type="dxa" w:w="108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r>
      <w:tr>
        <w:trPr>
          <w:cantSplit/>
        </w:trPr>
        <w:tc>
          <w:tcPr>
            <w:tcW w:type="dxa" w:w="198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Actual outages, 6 checks</w:t>
            </w:r>
          </w:p>
        </w:tc>
        <w:tc>
          <w:tcPr>
            <w:tcW w:type="dxa" w:w="71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Real Chroma and retrieval process failures, safe fallback and retained-index recovery all passed.</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98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Original native integration</w:t>
            </w:r>
          </w:p>
        </w:tc>
        <w:tc>
          <w:tcPr>
            <w:tcW w:type="dxa" w:w="715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Unchanged full model test passed, with 8 recorded checks and independent SQL verification of 21,431 rows.</w:t>
            </w:r>
          </w:p>
        </w:tc>
        <w:tc>
          <w:tcPr>
            <w:tcW w:type="dxa" w:w="108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98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Actual browser workflows</w:t>
            </w:r>
          </w:p>
        </w:tc>
        <w:tc>
          <w:tcPr>
            <w:tcW w:type="dxa" w:w="71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5 original desktop/mobile check groups and 4 additional knowledge/citation/reload checks passed.</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98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Timing response contracts</w:t>
            </w:r>
          </w:p>
        </w:tc>
        <w:tc>
          <w:tcPr>
            <w:tcW w:type="dxa" w:w="715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30/30 retrieval requests; 5/6 application workflows fully nondegraded. All 6 returned grounded answers. No latency SLA is claimed.</w:t>
            </w:r>
          </w:p>
        </w:tc>
        <w:tc>
          <w:tcPr>
            <w:tcW w:type="dxa" w:w="108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r>
    </w:tbl>
    <w:p>
      <w:pPr>
        <w:spacing w:after="0"/>
      </w:pPr>
    </w:p>
    <w:p>
      <w:pPr>
        <w:pStyle w:val="Heading2"/>
      </w:pPr>
      <w:r>
        <w:t>Recommendation and browser depth</w:t>
      </w:r>
    </w:p>
    <w:p>
      <w:r>
        <w:t>The unchanged native integration verified full-data eligibility, lexicographic tie order, duration-based implicit scores, immutable replay, photo/context evidence and direct routing. It exercised an initial SGD 5000 search, explanations, a viewing draft, a summary, feedback reranking and a budget change to SGD 4500. A committed native run that the UI had not adopted was reconciled at the transport boundary.</w:t>
      </w:r>
    </w:p>
    <w:p>
      <w:r>
        <w:t>The browser used real chat and the live native controller. Manual 25-second SAMPLE feedback triggered reranking. A separate fresh session answered a system knowledge question, displayed exact source quotations and retained the answer after reload without starting a property search. These are automated checks; participant UAT remains NOT_RUN.</w:t>
      </w:r>
    </w:p>
    <w:p>
      <w:r>
        <w:br w:type="page"/>
      </w:r>
    </w:p>
    <w:p>
      <w:pPr>
        <w:pStyle w:val="Heading1"/>
      </w:pPr>
      <w:r>
        <w:t>Open issues and reproducible failures</w:t>
      </w:r>
    </w:p>
    <w:p>
      <w:r>
        <w:t>The earlier 140-check extension had five individual failures in four new issue groups. Its refund-refusal issue also remains open. These five issue groups, DEF04 to DEF08, were not changed by the recommendation-fit patch. That earlier extension changed no production source or original test assertion.</w:t>
      </w:r>
    </w:p>
    <w:tbl>
      <w:tblPr>
        <w:tblW w:type="auto" w:w="0"/>
        <w:tblLayout w:type="fixed"/>
        <w:tblLook w:firstColumn="1" w:firstRow="1" w:lastColumn="0" w:lastRow="0" w:noHBand="0" w:noVBand="1" w:val="04A0"/>
      </w:tblPr>
      <w:tblGrid>
        <w:gridCol w:w="1613"/>
        <w:gridCol w:w="5314"/>
        <w:gridCol w:w="3298"/>
      </w:tblGrid>
      <w:tr>
        <w:trPr>
          <w:cantSplit/>
          <w:tblHeader/>
        </w:trPr>
        <w:tc>
          <w:tcPr>
            <w:tcW w:type="dxa" w:w="1613"/>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Issue</w:t>
            </w:r>
          </w:p>
        </w:tc>
        <w:tc>
          <w:tcPr>
            <w:tcW w:type="dxa" w:w="5314"/>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Observed behavior and impact</w:t>
            </w:r>
          </w:p>
        </w:tc>
        <w:tc>
          <w:tcPr>
            <w:tcW w:type="dxa" w:w="3298"/>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Next action</w:t>
            </w:r>
          </w:p>
        </w:tc>
      </w:tr>
      <w:tr>
        <w:trPr>
          <w:cantSplit/>
        </w:trPr>
        <w:tc>
          <w:tcPr>
            <w:tcW w:type="dxa" w:w="161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DEF04 | Medium</w:t>
            </w:r>
          </w:p>
        </w:tc>
        <w:tc>
          <w:tcPr>
            <w:tcW w:type="dxa" w:w="531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Refund-guarantee challenge passed 2/3 fresh repeats; one safe generic abstention still lacks the required explicit cited refusal.</w:t>
            </w:r>
          </w:p>
        </w:tc>
        <w:tc>
          <w:tcPr>
            <w:tcW w:type="dxa" w:w="32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Knowledge owner: agree behavior, then rerun the original and repeated challenge.</w:t>
            </w:r>
          </w:p>
        </w:tc>
      </w:tr>
      <w:tr>
        <w:trPr>
          <w:cantSplit/>
        </w:trPr>
        <w:tc>
          <w:tcPr>
            <w:tcW w:type="dxa" w:w="1613"/>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DEF05 | Medium</w:t>
              <w:br/>
              <w:t>XI20</w:t>
            </w:r>
          </w:p>
        </w:tc>
        <w:tc>
          <w:tcPr>
            <w:tcW w:type="dxa" w:w="5314"/>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 conceptual question about a delivery receipt after copying a draft routes to follow-up status instead of knowledge.</w:t>
            </w:r>
          </w:p>
        </w:tc>
        <w:tc>
          <w:tcPr>
            <w:tcW w:type="dxa" w:w="3298"/>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Orchestration owner: distinguish system concepts from requests for an existing action status.</w:t>
            </w:r>
          </w:p>
        </w:tc>
      </w:tr>
      <w:tr>
        <w:trPr>
          <w:cantSplit/>
        </w:trPr>
        <w:tc>
          <w:tcPr>
            <w:tcW w:type="dxa" w:w="161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DEF06 | Medium</w:t>
              <w:br/>
              <w:t>XR05</w:t>
            </w:r>
          </w:p>
        </w:tc>
        <w:tc>
          <w:tcPr>
            <w:tcW w:type="dxa" w:w="531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"The bathroom is not shared with anyone else." becomes unknown. The model extracted the correct quoted claim; the product anchor filter discarded it.</w:t>
            </w:r>
          </w:p>
        </w:tc>
        <w:tc>
          <w:tcPr>
            <w:tcW w:type="dxa" w:w="32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Reply owner: extend English phrase support while retaining negation, conflict and exact-quote guards.</w:t>
            </w:r>
          </w:p>
        </w:tc>
      </w:tr>
      <w:tr>
        <w:trPr>
          <w:cantSplit/>
        </w:trPr>
        <w:tc>
          <w:tcPr>
            <w:tcW w:type="dxa" w:w="1613"/>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DEF07 | Medium</w:t>
              <w:br/>
              <w:t>XA08, XA09</w:t>
            </w:r>
          </w:p>
        </w:tc>
        <w:tc>
          <w:tcPr>
            <w:tcW w:type="dxa" w:w="5314"/>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Missing authorization and wrong owner return 502 although upstream rejects with 401 and 403. Access protection held.</w:t>
            </w:r>
          </w:p>
        </w:tc>
        <w:tc>
          <w:tcPr>
            <w:tcW w:type="dxa" w:w="3298"/>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API owner: preserve authorization error semantics at the public stream proxy.</w:t>
            </w:r>
          </w:p>
        </w:tc>
      </w:tr>
      <w:tr>
        <w:trPr>
          <w:cantSplit/>
        </w:trPr>
        <w:tc>
          <w:tcPr>
            <w:tcW w:type="dxa" w:w="161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DEF08 | Low</w:t>
              <w:br/>
              <w:t>XK23</w:t>
            </w:r>
          </w:p>
        </w:tc>
        <w:tc>
          <w:tcPr>
            <w:tcW w:type="dxa" w:w="531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An unsupported 2035-law question safely abstains. An HTTP 200 reranker returns an empty chunk_ids list, causing rerank_unavailable and RRF fallback.</w:t>
            </w:r>
          </w:p>
        </w:tc>
        <w:tc>
          <w:tcPr>
            <w:tcW w:type="dxa" w:w="32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Knowledge owner: distinguish empty relevance selection from service failure; retain safe abstention.</w:t>
            </w:r>
          </w:p>
        </w:tc>
      </w:tr>
    </w:tbl>
    <w:p>
      <w:pPr>
        <w:spacing w:after="0"/>
      </w:pPr>
    </w:p>
    <w:p>
      <w:pPr>
        <w:pStyle w:val="Heading2"/>
      </w:pPr>
      <w:r>
        <w:t>What the failing cases establish</w:t>
      </w:r>
    </w:p>
    <w:p>
      <w:r>
        <w:t>XR05 is a conservative false negative, not false independent verification of a listing. The exact model tool response and filtered application result are both retained. The filter is in src/domain/reply-analysis.ts, lines 15 and 58. XA08 and XA09 expose an error-category problem in api/main.py, lines 46 to 55; no ownership bypass or data disclosure was observed. Their expected status codes are a proposed QA contract, not a previously approved course SLA.</w:t>
      </w:r>
    </w:p>
    <w:p>
      <w:r>
        <w:t>XK23 did not invent future law. It failed the frozen no-degradation criterion. A separate timing workflow encountered a 10-second rerank timeout; this is distinct from an empty relevance selection. These observations must remain separate when deciding a fix. A suite threshold pass for intent does not close its individual XI20 miss.</w:t>
      </w:r>
    </w:p>
    <w:p>
      <w:r>
        <w:t>Reproducers, expected/observed values and owner roles are in evidence/extended/open-issues.json. Every new functional case has its own row in the workbook Evidence sheet and a matching raw receipt. Fix the affected module, preserve these failing receipts, then rerun the related suite before closure.</w:t>
      </w:r>
    </w:p>
    <w:p>
      <w:r>
        <w:br w:type="page"/>
      </w:r>
    </w:p>
    <w:p>
      <w:pPr>
        <w:pStyle w:val="Heading1"/>
      </w:pPr>
      <w:r>
        <w:t>Outage recovery, timings and usage</w:t>
      </w:r>
    </w:p>
    <w:p>
      <w:pPr>
        <w:pStyle w:val="Heading2"/>
      </w:pPr>
      <w:r>
        <w:t>Real process faults and retained state</w:t>
      </w:r>
    </w:p>
    <w:p>
      <w:r>
        <w:t>Stopping the actual Chroma process left BM25 HTTP retrieval available and a real model answer grounded in its quotations. Stopping the retrieval process entirely caused the completed application operation to report unavailable without invented citations. Restarting retained the same generation, 8 documents, 40 chunks and 42 templates; a new deployed workflow then returned a grounded answer. All six declared checks passed.</w:t>
      </w:r>
    </w:p>
    <w:p>
      <w:pPr>
        <w:pStyle w:val="Heading2"/>
      </w:pPr>
      <w:r>
        <w:t>Small local timing observation</w:t>
      </w:r>
    </w:p>
    <w:tbl>
      <w:tblPr>
        <w:tblW w:type="auto" w:w="0"/>
        <w:tblLayout w:type="fixed"/>
        <w:tblLook w:firstColumn="1" w:firstRow="1" w:lastColumn="0" w:lastRow="0" w:noHBand="0" w:noVBand="1" w:val="04A0"/>
      </w:tblPr>
      <w:tblGrid>
        <w:gridCol w:w="3542"/>
        <w:gridCol w:w="893"/>
        <w:gridCol w:w="1498"/>
        <w:gridCol w:w="1642"/>
        <w:gridCol w:w="2650"/>
      </w:tblGrid>
      <w:tr>
        <w:trPr>
          <w:cantSplit/>
          <w:tblHeader/>
        </w:trPr>
        <w:tc>
          <w:tcPr>
            <w:tcW w:type="dxa" w:w="3542"/>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Path / concurrency</w:t>
            </w:r>
          </w:p>
        </w:tc>
        <w:tc>
          <w:tcPr>
            <w:tcW w:type="dxa" w:w="893"/>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n</w:t>
            </w:r>
          </w:p>
        </w:tc>
        <w:tc>
          <w:tcPr>
            <w:tcW w:type="dxa" w:w="1498"/>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Median</w:t>
            </w:r>
          </w:p>
        </w:tc>
        <w:tc>
          <w:tcPr>
            <w:tcW w:type="dxa" w:w="1642"/>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p95 / max</w:t>
            </w:r>
          </w:p>
        </w:tc>
        <w:tc>
          <w:tcPr>
            <w:tcW w:type="dxa" w:w="2650"/>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Strict contract</w:t>
            </w:r>
          </w:p>
        </w:tc>
      </w:tr>
      <w:tr>
        <w:trPr>
          <w:cantSplit/>
        </w:trPr>
        <w:tc>
          <w:tcPr>
            <w:tcW w:type="dxa" w:w="35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Retrieval / 1</w:t>
            </w:r>
          </w:p>
        </w:tc>
        <w:tc>
          <w:tcPr>
            <w:tcW w:type="dxa" w:w="89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w:t>
            </w:r>
          </w:p>
        </w:tc>
        <w:tc>
          <w:tcPr>
            <w:tcW w:type="dxa" w:w="14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20 ms</w:t>
            </w:r>
          </w:p>
        </w:tc>
        <w:tc>
          <w:tcPr>
            <w:tcW w:type="dxa" w:w="16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93 ms</w:t>
            </w:r>
          </w:p>
        </w:tc>
        <w:tc>
          <w:tcPr>
            <w:tcW w:type="dxa" w:w="265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10/10</w:t>
            </w:r>
          </w:p>
        </w:tc>
      </w:tr>
      <w:tr>
        <w:trPr>
          <w:cantSplit/>
        </w:trPr>
        <w:tc>
          <w:tcPr>
            <w:tcW w:type="dxa" w:w="3542"/>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Retrieval / 3</w:t>
            </w:r>
          </w:p>
        </w:tc>
        <w:tc>
          <w:tcPr>
            <w:tcW w:type="dxa" w:w="893"/>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w:t>
            </w:r>
          </w:p>
        </w:tc>
        <w:tc>
          <w:tcPr>
            <w:tcW w:type="dxa" w:w="1498"/>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28 ms</w:t>
            </w:r>
          </w:p>
        </w:tc>
        <w:tc>
          <w:tcPr>
            <w:tcW w:type="dxa" w:w="1642"/>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70 ms</w:t>
            </w:r>
          </w:p>
        </w:tc>
        <w:tc>
          <w:tcPr>
            <w:tcW w:type="dxa" w:w="265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10/10</w:t>
            </w:r>
          </w:p>
        </w:tc>
      </w:tr>
      <w:tr>
        <w:trPr>
          <w:cantSplit/>
        </w:trPr>
        <w:tc>
          <w:tcPr>
            <w:tcW w:type="dxa" w:w="35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Retrieval / 5</w:t>
            </w:r>
          </w:p>
        </w:tc>
        <w:tc>
          <w:tcPr>
            <w:tcW w:type="dxa" w:w="89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w:t>
            </w:r>
          </w:p>
        </w:tc>
        <w:tc>
          <w:tcPr>
            <w:tcW w:type="dxa" w:w="14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42 ms</w:t>
            </w:r>
          </w:p>
        </w:tc>
        <w:tc>
          <w:tcPr>
            <w:tcW w:type="dxa" w:w="16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97 ms</w:t>
            </w:r>
          </w:p>
        </w:tc>
        <w:tc>
          <w:tcPr>
            <w:tcW w:type="dxa" w:w="265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10/10</w:t>
            </w:r>
          </w:p>
        </w:tc>
      </w:tr>
      <w:tr>
        <w:trPr>
          <w:cantSplit/>
        </w:trPr>
        <w:tc>
          <w:tcPr>
            <w:tcW w:type="dxa" w:w="3542"/>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Completed model workflow / 1</w:t>
            </w:r>
          </w:p>
        </w:tc>
        <w:tc>
          <w:tcPr>
            <w:tcW w:type="dxa" w:w="893"/>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3</w:t>
            </w:r>
          </w:p>
        </w:tc>
        <w:tc>
          <w:tcPr>
            <w:tcW w:type="dxa" w:w="1498"/>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12.859 s</w:t>
            </w:r>
          </w:p>
        </w:tc>
        <w:tc>
          <w:tcPr>
            <w:tcW w:type="dxa" w:w="1642"/>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18.456 s</w:t>
            </w:r>
          </w:p>
        </w:tc>
        <w:tc>
          <w:tcPr>
            <w:tcW w:type="dxa" w:w="265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2/3</w:t>
            </w:r>
          </w:p>
        </w:tc>
      </w:tr>
      <w:tr>
        <w:trPr>
          <w:cantSplit/>
        </w:trPr>
        <w:tc>
          <w:tcPr>
            <w:tcW w:type="dxa" w:w="35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Completed model workflow / 3</w:t>
            </w:r>
          </w:p>
        </w:tc>
        <w:tc>
          <w:tcPr>
            <w:tcW w:type="dxa" w:w="89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3</w:t>
            </w:r>
          </w:p>
        </w:tc>
        <w:tc>
          <w:tcPr>
            <w:tcW w:type="dxa" w:w="14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10.566 s</w:t>
            </w:r>
          </w:p>
        </w:tc>
        <w:tc>
          <w:tcPr>
            <w:tcW w:type="dxa" w:w="16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11.640 s</w:t>
            </w:r>
          </w:p>
        </w:tc>
        <w:tc>
          <w:tcPr>
            <w:tcW w:type="dxa" w:w="265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3/3</w:t>
            </w:r>
          </w:p>
        </w:tc>
      </w:tr>
    </w:tbl>
    <w:p>
      <w:pPr>
        <w:spacing w:after="0"/>
      </w:pPr>
    </w:p>
    <w:p>
      <w:r>
        <w:t>All six model workflows completed with verified grounded answers and citations; one retained a rerank_unavailable flag after a timeout. The strict response-contract suite is FAIL at 5/6. Timings include operation completion polling. Indexes were warm; the application restarted between batches to clear answer cache. With only 10 retrieval samples and 3 workflows per level, p95 equals the observed maximum. No agreed latency SLA, sustained-load capacity or formal performance acceptance is established.</w:t>
      </w:r>
    </w:p>
    <w:p>
      <w:pPr>
        <w:pStyle w:val="Heading2"/>
      </w:pPr>
      <w:r>
        <w:t>Execution incidents and model accounting</w:t>
      </w:r>
    </w:p>
    <w:p>
      <w:r>
        <w:t>The initial browser attempt lacked generated JavaScript assets. The standard TypeScript build succeeded and the unchanged browser test then passed. An early fault harness read state immediately after an SSE acknowledgement; it was corrected to wait for terminal operation status and rerun with unchanged outcome expectations. Initial logs are retained under setup-incidents and are not reported as product failures.</w:t>
      </w:r>
    </w:p>
    <w:p>
      <w:r>
        <w:t>The extension recorded 277 API attempts: 276 HTTP 200 model responses and one transport timeout. Reported usage totals 321,267 tokens; provider reference cost is USD 0.038528964. Across both model phases, totals are 477 attempts, 472 HTTP 200 responses and 512,376 reported tokens. No usage is inferred for the timeout or earlier failures. Reference costs are not subscription invoices or verified extra charges.</w:t>
      </w:r>
    </w:p>
    <w:p>
      <w:r>
        <w:t>At the earlier extension, all 353 compared non-generated baseline files and original assertions were unchanged. That profile used separate QA workflow and native state, had an empty outbox and stopped its owned services. The local remediation and its explicitly declared source changes are reported later.</w:t>
      </w:r>
    </w:p>
    <w:p>
      <w:r>
        <w:br w:type="page"/>
      </w:r>
    </w:p>
    <w:p>
      <w:pPr>
        <w:pStyle w:val="Heading1"/>
      </w:pPr>
      <w:r>
        <w:t>Baseline recommendation fit results</w:t>
      </w:r>
    </w:p>
    <w:p>
      <w:r>
        <w:t>Before remediation, the catalogue was frozen with 24 structured scenarios, 8 projection checks and 12 deployed turns across four authored personas. The following two pages retain the original failed evidence. The local retest uses identical catalogue bytes and oracle assertions; its results follow these baseline records.</w:t>
      </w:r>
    </w:p>
    <w:tbl>
      <w:tblPr>
        <w:tblW w:type="auto" w:w="0"/>
        <w:tblLayout w:type="fixed"/>
        <w:tblLook w:firstColumn="1" w:firstRow="1" w:lastColumn="0" w:lastRow="0" w:noHBand="0" w:noVBand="1" w:val="04A0"/>
      </w:tblPr>
      <w:tblGrid>
        <w:gridCol w:w="1843"/>
        <w:gridCol w:w="7301"/>
        <w:gridCol w:w="1080"/>
      </w:tblGrid>
      <w:tr>
        <w:trPr>
          <w:cantSplit/>
          <w:tblHeader/>
        </w:trPr>
        <w:tc>
          <w:tcPr>
            <w:tcW w:type="dxa" w:w="1843"/>
            <w:vAlign w:val="center"/>
            <w:shd w:fill="203C53"/>
            <w:tcMar>
              <w:top w:w="80" w:type="dxa"/>
              <w:bottom w:w="80" w:type="dxa"/>
              <w:left w:w="80" w:type="dxa"/>
              <w:right w:w="80" w:type="dxa"/>
            </w:tcMar>
          </w:tcPr>
          <w:p>
            <w:pPr>
              <w:spacing w:after="40" w:line="245" w:lineRule="auto"/>
            </w:pPr>
            <w:r>
              <w:rPr>
                <w:rFonts w:ascii="Arial" w:hAnsi="Arial"/>
                <w:b/>
                <w:color w:val="FFFFFF"/>
                <w:sz w:val="18"/>
              </w:rPr>
              <w:t>Scope</w:t>
            </w:r>
          </w:p>
        </w:tc>
        <w:tc>
          <w:tcPr>
            <w:tcW w:type="dxa" w:w="7301"/>
            <w:vAlign w:val="center"/>
            <w:shd w:fill="203C53"/>
            <w:tcMar>
              <w:top w:w="80" w:type="dxa"/>
              <w:bottom w:w="80" w:type="dxa"/>
              <w:left w:w="80" w:type="dxa"/>
              <w:right w:w="80" w:type="dxa"/>
            </w:tcMar>
          </w:tcPr>
          <w:p>
            <w:pPr>
              <w:spacing w:after="40" w:line="245" w:lineRule="auto"/>
            </w:pPr>
            <w:r>
              <w:rPr>
                <w:rFonts w:ascii="Arial" w:hAnsi="Arial"/>
                <w:b/>
                <w:color w:val="FFFFFF"/>
                <w:sz w:val="18"/>
              </w:rPr>
              <w:t>Execution and observed result</w:t>
            </w:r>
          </w:p>
        </w:tc>
        <w:tc>
          <w:tcPr>
            <w:tcW w:type="dxa" w:w="1080"/>
            <w:vAlign w:val="center"/>
            <w:shd w:fill="203C53"/>
            <w:tcMar>
              <w:top w:w="80" w:type="dxa"/>
              <w:bottom w:w="80" w:type="dxa"/>
              <w:left w:w="80" w:type="dxa"/>
              <w:right w:w="80" w:type="dxa"/>
            </w:tcMar>
          </w:tcPr>
          <w:p>
            <w:pPr>
              <w:spacing w:after="40" w:line="245" w:lineRule="auto"/>
            </w:pPr>
            <w:r>
              <w:rPr>
                <w:rFonts w:ascii="Arial" w:hAnsi="Arial"/>
                <w:b/>
                <w:color w:val="FFFFFF"/>
                <w:sz w:val="18"/>
              </w:rPr>
              <w:t>Decision</w:t>
            </w:r>
          </w:p>
        </w:tc>
      </w:tr>
      <w:tr>
        <w:trPr>
          <w:cantSplit/>
        </w:trPr>
        <w:tc>
          <w:tcPr>
            <w:tcW w:type="dxa" w:w="1843"/>
            <w:vAlign w:val="center"/>
            <w:shd w:fill="FFFFFF"/>
            <w:tcMar>
              <w:top w:w="80" w:type="dxa"/>
              <w:bottom w:w="80" w:type="dxa"/>
              <w:left w:w="80" w:type="dxa"/>
              <w:right w:w="80" w:type="dxa"/>
            </w:tcMar>
          </w:tcPr>
          <w:p>
            <w:pPr>
              <w:spacing w:after="40" w:line="245" w:lineRule="auto"/>
            </w:pPr>
            <w:r>
              <w:rPr>
                <w:rFonts w:ascii="Arial" w:hAnsi="Arial"/>
                <w:b w:val="0"/>
                <w:color w:val="000000"/>
                <w:sz w:val="18"/>
              </w:rPr>
              <w:t>Structured matching</w:t>
            </w:r>
          </w:p>
        </w:tc>
        <w:tc>
          <w:tcPr>
            <w:tcW w:type="dxa" w:w="7301"/>
            <w:vAlign w:val="center"/>
            <w:shd w:fill="FFFFFF"/>
            <w:tcMar>
              <w:top w:w="80" w:type="dxa"/>
              <w:bottom w:w="80" w:type="dxa"/>
              <w:left w:w="80" w:type="dxa"/>
              <w:right w:w="80" w:type="dxa"/>
            </w:tcMar>
          </w:tcPr>
          <w:p>
            <w:pPr>
              <w:spacing w:after="40" w:line="245" w:lineRule="auto"/>
            </w:pPr>
            <w:r>
              <w:rPr>
                <w:rFonts w:ascii="Arial" w:hAnsi="Arial"/>
                <w:b w:val="0"/>
                <w:color w:val="000000"/>
                <w:sz w:val="18"/>
              </w:rPr>
              <w:t>24/24 cases passed on all 21,431 rows. The production service used real databases, a scripted controller and isolated in-memory state; no chat calls. All 64 displayed verified occurrences satisfy their structured hard constraints.</w:t>
            </w:r>
          </w:p>
        </w:tc>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843"/>
            <w:vAlign w:val="center"/>
            <w:shd w:fill="F2F5F7"/>
            <w:tcMar>
              <w:top w:w="80" w:type="dxa"/>
              <w:bottom w:w="80" w:type="dxa"/>
              <w:left w:w="80" w:type="dxa"/>
              <w:right w:w="80" w:type="dxa"/>
            </w:tcMar>
          </w:tcPr>
          <w:p>
            <w:pPr>
              <w:spacing w:after="40" w:line="245" w:lineRule="auto"/>
            </w:pPr>
            <w:r>
              <w:rPr>
                <w:rFonts w:ascii="Arial" w:hAnsi="Arial"/>
                <w:b w:val="0"/>
                <w:color w:val="000000"/>
                <w:sz w:val="18"/>
              </w:rPr>
              <w:t>Evidence projection</w:t>
            </w:r>
          </w:p>
        </w:tc>
        <w:tc>
          <w:tcPr>
            <w:tcW w:type="dxa" w:w="7301"/>
            <w:vAlign w:val="center"/>
            <w:shd w:fill="F2F5F7"/>
            <w:tcMar>
              <w:top w:w="80" w:type="dxa"/>
              <w:bottom w:w="80" w:type="dxa"/>
              <w:left w:w="80" w:type="dxa"/>
              <w:right w:w="80" w:type="dxa"/>
            </w:tcMar>
          </w:tcPr>
          <w:p>
            <w:pPr>
              <w:spacing w:after="40" w:line="245" w:lineRule="auto"/>
            </w:pPr>
            <w:r>
              <w:rPr>
                <w:rFonts w:ascii="Arial" w:hAnsi="Arial"/>
                <w:b w:val="0"/>
                <w:color w:val="000000"/>
                <w:sz w:val="18"/>
              </w:rPr>
              <w:t>8/8 production TypeScript projection cases passed over the recorded RF01 response. Missing bathroom, scope, move-in, pet and walking information stayed unknown. These are projection checks, not eight new searches.</w:t>
            </w:r>
          </w:p>
        </w:tc>
        <w:tc>
          <w:tcPr>
            <w:tcW w:type="dxa" w:w="1080"/>
            <w:vAlign w:val="center"/>
            <w:shd w:fill="F2F5F7"/>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843"/>
            <w:vAlign w:val="center"/>
            <w:shd w:fill="FFFFFF"/>
            <w:tcMar>
              <w:top w:w="80" w:type="dxa"/>
              <w:bottom w:w="80" w:type="dxa"/>
              <w:left w:w="80" w:type="dxa"/>
              <w:right w:w="80" w:type="dxa"/>
            </w:tcMar>
          </w:tcPr>
          <w:p>
            <w:pPr>
              <w:spacing w:after="40" w:line="245" w:lineRule="auto"/>
            </w:pPr>
            <w:r>
              <w:rPr>
                <w:rFonts w:ascii="Arial" w:hAnsi="Arial"/>
                <w:b w:val="0"/>
                <w:color w:val="000000"/>
                <w:sz w:val="18"/>
              </w:rPr>
              <w:t>Persona refinement</w:t>
            </w:r>
          </w:p>
        </w:tc>
        <w:tc>
          <w:tcPr>
            <w:tcW w:type="dxa" w:w="7301"/>
            <w:vAlign w:val="center"/>
            <w:shd w:fill="FFFFFF"/>
            <w:tcMar>
              <w:top w:w="80" w:type="dxa"/>
              <w:bottom w:w="80" w:type="dxa"/>
              <w:left w:w="80" w:type="dxa"/>
              <w:right w:w="80" w:type="dxa"/>
            </w:tcMar>
          </w:tcPr>
          <w:p>
            <w:pPr>
              <w:spacing w:after="40" w:line="245" w:lineRule="auto"/>
            </w:pPr>
            <w:r>
              <w:rPr>
                <w:rFonts w:ascii="Arial" w:hAnsi="Arial"/>
                <w:b w:val="0"/>
                <w:color w:val="000000"/>
                <w:sz w:val="18"/>
              </w:rPr>
              <w:t>4/12 actual deployed turns passed with real DeepSeek calls and the live native controller. Eight failed turns form four issue groups. Later turns can inherit earlier failures.</w:t>
            </w:r>
          </w:p>
        </w:tc>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FAIL</w:t>
            </w:r>
          </w:p>
        </w:tc>
      </w:tr>
    </w:tbl>
    <w:p>
      <w:pPr>
        <w:spacing w:after="0"/>
      </w:pPr>
    </w:p>
    <w:p>
      <w:pPr>
        <w:pStyle w:val="Heading2"/>
      </w:pPr>
      <w:r>
        <w:t>Independent matching and preference checks</w:t>
      </w:r>
    </w:p>
    <w:p>
      <w:r>
        <w:t>For each structured scenario, the oracle calculates eligible, unverified and excluded groups, exact top-four IDs, scores and evidence coverage. Cases cover inclusive rent bounds, bedroom counts, area, district/type alternatives, impossible requests, unknown lease/vacancy/furnishing and straight-line versus route semantics. Six cross-case checks also passed: exact-rent subset, smaller-radius subset, impossible-budget rejection, reversed district priorities, invalid bedroom exclusion and partial coverage for an unknown soft preference. They are not counted as extra cases.</w:t>
      </w:r>
    </w:p>
    <w:p>
      <w:pPr>
        <w:pStyle w:val="Heading2"/>
      </w:pPr>
      <w:r>
        <w:t>A concrete user expectation violation</w:t>
      </w:r>
    </w:p>
    <w:p>
      <w:r>
        <w:t>RN04 requests D10, at least 3 bedrooms and rent no more than SGD 6500. The stored bedroom operator is lte rather than gte. The native algorithm correctly ranks that incorrect input, and the application labels the following results verified:</w:t>
      </w:r>
    </w:p>
    <w:tbl>
      <w:tblPr>
        <w:tblW w:type="auto" w:w="0"/>
        <w:tblLayout w:type="fixed"/>
        <w:tblLook w:firstColumn="1" w:firstRow="1" w:lastColumn="0" w:lastRow="0" w:noHBand="0" w:noVBand="1" w:val="04A0"/>
      </w:tblPr>
      <w:tblGrid>
        <w:gridCol w:w="1728"/>
        <w:gridCol w:w="1483"/>
        <w:gridCol w:w="1152"/>
        <w:gridCol w:w="1080"/>
        <w:gridCol w:w="4781"/>
      </w:tblGrid>
      <w:tr>
        <w:trPr>
          <w:cantSplit/>
          <w:tblHeader/>
        </w:trPr>
        <w:tc>
          <w:tcPr>
            <w:tcW w:type="dxa" w:w="1728"/>
            <w:vAlign w:val="center"/>
            <w:shd w:fill="203C53"/>
            <w:tcMar>
              <w:top w:w="80" w:type="dxa"/>
              <w:bottom w:w="80" w:type="dxa"/>
              <w:left w:w="80" w:type="dxa"/>
              <w:right w:w="80" w:type="dxa"/>
            </w:tcMar>
          </w:tcPr>
          <w:p>
            <w:pPr>
              <w:spacing w:after="40" w:line="245" w:lineRule="auto"/>
            </w:pPr>
            <w:r>
              <w:rPr>
                <w:rFonts w:ascii="Arial" w:hAnsi="Arial"/>
                <w:b/>
                <w:color w:val="FFFFFF"/>
                <w:sz w:val="18"/>
              </w:rPr>
              <w:t>Listing ID</w:t>
            </w:r>
          </w:p>
        </w:tc>
        <w:tc>
          <w:tcPr>
            <w:tcW w:type="dxa" w:w="1483"/>
            <w:vAlign w:val="center"/>
            <w:shd w:fill="203C53"/>
            <w:tcMar>
              <w:top w:w="80" w:type="dxa"/>
              <w:bottom w:w="80" w:type="dxa"/>
              <w:left w:w="80" w:type="dxa"/>
              <w:right w:w="80" w:type="dxa"/>
            </w:tcMar>
          </w:tcPr>
          <w:p>
            <w:pPr>
              <w:spacing w:after="40" w:line="245" w:lineRule="auto"/>
            </w:pPr>
            <w:r>
              <w:rPr>
                <w:rFonts w:ascii="Arial" w:hAnsi="Arial"/>
                <w:b/>
                <w:color w:val="FFFFFF"/>
                <w:sz w:val="18"/>
              </w:rPr>
              <w:t>Monthly SGD</w:t>
            </w:r>
          </w:p>
        </w:tc>
        <w:tc>
          <w:tcPr>
            <w:tcW w:type="dxa" w:w="1152"/>
            <w:vAlign w:val="center"/>
            <w:shd w:fill="203C53"/>
            <w:tcMar>
              <w:top w:w="80" w:type="dxa"/>
              <w:bottom w:w="80" w:type="dxa"/>
              <w:left w:w="80" w:type="dxa"/>
              <w:right w:w="80" w:type="dxa"/>
            </w:tcMar>
          </w:tcPr>
          <w:p>
            <w:pPr>
              <w:spacing w:after="40" w:line="245" w:lineRule="auto"/>
            </w:pPr>
            <w:r>
              <w:rPr>
                <w:rFonts w:ascii="Arial" w:hAnsi="Arial"/>
                <w:b/>
                <w:color w:val="FFFFFF"/>
                <w:sz w:val="18"/>
              </w:rPr>
              <w:t>Bedrooms</w:t>
            </w:r>
          </w:p>
        </w:tc>
        <w:tc>
          <w:tcPr>
            <w:tcW w:type="dxa" w:w="1080"/>
            <w:vAlign w:val="center"/>
            <w:shd w:fill="203C53"/>
            <w:tcMar>
              <w:top w:w="80" w:type="dxa"/>
              <w:bottom w:w="80" w:type="dxa"/>
              <w:left w:w="80" w:type="dxa"/>
              <w:right w:w="80" w:type="dxa"/>
            </w:tcMar>
          </w:tcPr>
          <w:p>
            <w:pPr>
              <w:spacing w:after="40" w:line="245" w:lineRule="auto"/>
            </w:pPr>
            <w:r>
              <w:rPr>
                <w:rFonts w:ascii="Arial" w:hAnsi="Arial"/>
                <w:b/>
                <w:color w:val="FFFFFF"/>
                <w:sz w:val="18"/>
              </w:rPr>
              <w:t>District</w:t>
            </w:r>
          </w:p>
        </w:tc>
        <w:tc>
          <w:tcPr>
            <w:tcW w:type="dxa" w:w="4781"/>
            <w:vAlign w:val="center"/>
            <w:shd w:fill="203C53"/>
            <w:tcMar>
              <w:top w:w="80" w:type="dxa"/>
              <w:bottom w:w="80" w:type="dxa"/>
              <w:left w:w="80" w:type="dxa"/>
              <w:right w:w="80" w:type="dxa"/>
            </w:tcMar>
          </w:tcPr>
          <w:p>
            <w:pPr>
              <w:spacing w:after="40" w:line="245" w:lineRule="auto"/>
            </w:pPr>
            <w:r>
              <w:rPr>
                <w:rFonts w:ascii="Arial" w:hAnsi="Arial"/>
                <w:b/>
                <w:color w:val="FFFFFF"/>
                <w:sz w:val="18"/>
              </w:rPr>
              <w:t>Meets requested minimum</w:t>
            </w:r>
          </w:p>
        </w:tc>
      </w:tr>
      <w:tr>
        <w:trPr>
          <w:cantSplit/>
        </w:trPr>
        <w:tc>
          <w:tcPr>
            <w:tcW w:type="dxa" w:w="1728"/>
            <w:vAlign w:val="center"/>
            <w:shd w:fill="FFFFFF"/>
            <w:tcMar>
              <w:top w:w="80" w:type="dxa"/>
              <w:bottom w:w="80" w:type="dxa"/>
              <w:left w:w="80" w:type="dxa"/>
              <w:right w:w="80" w:type="dxa"/>
            </w:tcMar>
          </w:tcPr>
          <w:p>
            <w:pPr>
              <w:spacing w:after="40" w:line="245" w:lineRule="auto"/>
            </w:pPr>
            <w:r>
              <w:rPr>
                <w:rFonts w:ascii="Arial" w:hAnsi="Arial"/>
                <w:b w:val="0"/>
                <w:color w:val="000000"/>
                <w:sz w:val="18"/>
              </w:rPr>
              <w:t>10311736</w:t>
            </w:r>
          </w:p>
        </w:tc>
        <w:tc>
          <w:tcPr>
            <w:tcW w:type="dxa" w:w="1483"/>
            <w:vAlign w:val="center"/>
            <w:shd w:fill="FFFFFF"/>
            <w:tcMar>
              <w:top w:w="80" w:type="dxa"/>
              <w:bottom w:w="80" w:type="dxa"/>
              <w:left w:w="80" w:type="dxa"/>
              <w:right w:w="80" w:type="dxa"/>
            </w:tcMar>
          </w:tcPr>
          <w:p>
            <w:pPr>
              <w:spacing w:after="40" w:line="245" w:lineRule="auto"/>
            </w:pPr>
            <w:r>
              <w:rPr>
                <w:rFonts w:ascii="Arial" w:hAnsi="Arial"/>
                <w:b w:val="0"/>
                <w:color w:val="000000"/>
                <w:sz w:val="18"/>
              </w:rPr>
              <w:t>6500</w:t>
            </w:r>
          </w:p>
        </w:tc>
        <w:tc>
          <w:tcPr>
            <w:tcW w:type="dxa" w:w="1152"/>
            <w:vAlign w:val="center"/>
            <w:shd w:fill="FFFFFF"/>
            <w:tcMar>
              <w:top w:w="80" w:type="dxa"/>
              <w:bottom w:w="80" w:type="dxa"/>
              <w:left w:w="80" w:type="dxa"/>
              <w:right w:w="80" w:type="dxa"/>
            </w:tcMar>
          </w:tcPr>
          <w:p>
            <w:pPr>
              <w:spacing w:after="40" w:line="245" w:lineRule="auto"/>
            </w:pPr>
            <w:r>
              <w:rPr>
                <w:rFonts w:ascii="Arial" w:hAnsi="Arial"/>
                <w:b w:val="0"/>
                <w:color w:val="000000"/>
                <w:sz w:val="18"/>
              </w:rPr>
              <w:t>3</w:t>
            </w:r>
          </w:p>
        </w:tc>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D10</w:t>
            </w:r>
          </w:p>
        </w:tc>
        <w:tc>
          <w:tcPr>
            <w:tcW w:type="dxa" w:w="4781"/>
            <w:vAlign w:val="center"/>
            <w:shd w:fill="FFFFFF"/>
            <w:tcMar>
              <w:top w:w="80" w:type="dxa"/>
              <w:bottom w:w="80" w:type="dxa"/>
              <w:left w:w="80" w:type="dxa"/>
              <w:right w:w="80" w:type="dxa"/>
            </w:tcMar>
          </w:tcPr>
          <w:p>
            <w:pPr>
              <w:spacing w:after="40" w:line="245" w:lineRule="auto"/>
            </w:pPr>
            <w:r>
              <w:rPr>
                <w:rFonts w:ascii="Arial" w:hAnsi="Arial"/>
                <w:b w:val="0"/>
                <w:color w:val="000000"/>
                <w:sz w:val="18"/>
              </w:rPr>
              <w:t>YES</w:t>
            </w:r>
          </w:p>
        </w:tc>
      </w:tr>
      <w:tr>
        <w:trPr>
          <w:cantSplit/>
        </w:trPr>
        <w:tc>
          <w:tcPr>
            <w:tcW w:type="dxa" w:w="1728"/>
            <w:vAlign w:val="center"/>
            <w:shd w:fill="F2F5F7"/>
            <w:tcMar>
              <w:top w:w="80" w:type="dxa"/>
              <w:bottom w:w="80" w:type="dxa"/>
              <w:left w:w="80" w:type="dxa"/>
              <w:right w:w="80" w:type="dxa"/>
            </w:tcMar>
          </w:tcPr>
          <w:p>
            <w:pPr>
              <w:spacing w:after="40" w:line="245" w:lineRule="auto"/>
            </w:pPr>
            <w:r>
              <w:rPr>
                <w:rFonts w:ascii="Arial" w:hAnsi="Arial"/>
                <w:b w:val="0"/>
                <w:color w:val="000000"/>
                <w:sz w:val="18"/>
              </w:rPr>
              <w:t>12620560</w:t>
            </w:r>
          </w:p>
        </w:tc>
        <w:tc>
          <w:tcPr>
            <w:tcW w:type="dxa" w:w="1483"/>
            <w:vAlign w:val="center"/>
            <w:shd w:fill="F2F5F7"/>
            <w:tcMar>
              <w:top w:w="80" w:type="dxa"/>
              <w:bottom w:w="80" w:type="dxa"/>
              <w:left w:w="80" w:type="dxa"/>
              <w:right w:w="80" w:type="dxa"/>
            </w:tcMar>
          </w:tcPr>
          <w:p>
            <w:pPr>
              <w:spacing w:after="40" w:line="245" w:lineRule="auto"/>
            </w:pPr>
            <w:r>
              <w:rPr>
                <w:rFonts w:ascii="Arial" w:hAnsi="Arial"/>
                <w:b w:val="0"/>
                <w:color w:val="000000"/>
                <w:sz w:val="18"/>
              </w:rPr>
              <w:t>850</w:t>
            </w:r>
          </w:p>
        </w:tc>
        <w:tc>
          <w:tcPr>
            <w:tcW w:type="dxa" w:w="1152"/>
            <w:vAlign w:val="center"/>
            <w:shd w:fill="F2F5F7"/>
            <w:tcMar>
              <w:top w:w="80" w:type="dxa"/>
              <w:bottom w:w="80" w:type="dxa"/>
              <w:left w:w="80" w:type="dxa"/>
              <w:right w:w="80" w:type="dxa"/>
            </w:tcMar>
          </w:tcPr>
          <w:p>
            <w:pPr>
              <w:spacing w:after="40" w:line="245" w:lineRule="auto"/>
            </w:pPr>
            <w:r>
              <w:rPr>
                <w:rFonts w:ascii="Arial" w:hAnsi="Arial"/>
                <w:b w:val="0"/>
                <w:color w:val="000000"/>
                <w:sz w:val="18"/>
              </w:rPr>
              <w:t>1</w:t>
            </w:r>
          </w:p>
        </w:tc>
        <w:tc>
          <w:tcPr>
            <w:tcW w:type="dxa" w:w="1080"/>
            <w:vAlign w:val="center"/>
            <w:shd w:fill="F2F5F7"/>
            <w:tcMar>
              <w:top w:w="80" w:type="dxa"/>
              <w:bottom w:w="80" w:type="dxa"/>
              <w:left w:w="80" w:type="dxa"/>
              <w:right w:w="80" w:type="dxa"/>
            </w:tcMar>
          </w:tcPr>
          <w:p>
            <w:pPr>
              <w:spacing w:after="40" w:line="245" w:lineRule="auto"/>
            </w:pPr>
            <w:r>
              <w:rPr>
                <w:rFonts w:ascii="Arial" w:hAnsi="Arial"/>
                <w:b w:val="0"/>
                <w:color w:val="000000"/>
                <w:sz w:val="18"/>
              </w:rPr>
              <w:t>D10</w:t>
            </w:r>
          </w:p>
        </w:tc>
        <w:tc>
          <w:tcPr>
            <w:tcW w:type="dxa" w:w="4781"/>
            <w:vAlign w:val="center"/>
            <w:shd w:fill="F2F5F7"/>
            <w:tcMar>
              <w:top w:w="80" w:type="dxa"/>
              <w:bottom w:w="80" w:type="dxa"/>
              <w:left w:w="80" w:type="dxa"/>
              <w:right w:w="80" w:type="dxa"/>
            </w:tcMar>
          </w:tcPr>
          <w:p>
            <w:pPr>
              <w:spacing w:after="40" w:line="245" w:lineRule="auto"/>
            </w:pPr>
            <w:r>
              <w:rPr>
                <w:rFonts w:ascii="Arial" w:hAnsi="Arial"/>
                <w:b w:val="0"/>
                <w:color w:val="000000"/>
                <w:sz w:val="18"/>
              </w:rPr>
              <w:t>NO</w:t>
            </w:r>
          </w:p>
        </w:tc>
      </w:tr>
      <w:tr>
        <w:trPr>
          <w:cantSplit/>
        </w:trPr>
        <w:tc>
          <w:tcPr>
            <w:tcW w:type="dxa" w:w="1728"/>
            <w:vAlign w:val="center"/>
            <w:shd w:fill="FFFFFF"/>
            <w:tcMar>
              <w:top w:w="80" w:type="dxa"/>
              <w:bottom w:w="80" w:type="dxa"/>
              <w:left w:w="80" w:type="dxa"/>
              <w:right w:w="80" w:type="dxa"/>
            </w:tcMar>
          </w:tcPr>
          <w:p>
            <w:pPr>
              <w:spacing w:after="40" w:line="245" w:lineRule="auto"/>
            </w:pPr>
            <w:r>
              <w:rPr>
                <w:rFonts w:ascii="Arial" w:hAnsi="Arial"/>
                <w:b w:val="0"/>
                <w:color w:val="000000"/>
                <w:sz w:val="18"/>
              </w:rPr>
              <w:t>12922606</w:t>
            </w:r>
          </w:p>
        </w:tc>
        <w:tc>
          <w:tcPr>
            <w:tcW w:type="dxa" w:w="1483"/>
            <w:vAlign w:val="center"/>
            <w:shd w:fill="FFFFFF"/>
            <w:tcMar>
              <w:top w:w="80" w:type="dxa"/>
              <w:bottom w:w="80" w:type="dxa"/>
              <w:left w:w="80" w:type="dxa"/>
              <w:right w:w="80" w:type="dxa"/>
            </w:tcMar>
          </w:tcPr>
          <w:p>
            <w:pPr>
              <w:spacing w:after="40" w:line="245" w:lineRule="auto"/>
            </w:pPr>
            <w:r>
              <w:rPr>
                <w:rFonts w:ascii="Arial" w:hAnsi="Arial"/>
                <w:b w:val="0"/>
                <w:color w:val="000000"/>
                <w:sz w:val="18"/>
              </w:rPr>
              <w:t>6300</w:t>
            </w:r>
          </w:p>
        </w:tc>
        <w:tc>
          <w:tcPr>
            <w:tcW w:type="dxa" w:w="1152"/>
            <w:vAlign w:val="center"/>
            <w:shd w:fill="FFFFFF"/>
            <w:tcMar>
              <w:top w:w="80" w:type="dxa"/>
              <w:bottom w:w="80" w:type="dxa"/>
              <w:left w:w="80" w:type="dxa"/>
              <w:right w:w="80" w:type="dxa"/>
            </w:tcMar>
          </w:tcPr>
          <w:p>
            <w:pPr>
              <w:spacing w:after="40" w:line="245" w:lineRule="auto"/>
            </w:pPr>
            <w:r>
              <w:rPr>
                <w:rFonts w:ascii="Arial" w:hAnsi="Arial"/>
                <w:b w:val="0"/>
                <w:color w:val="000000"/>
                <w:sz w:val="18"/>
              </w:rPr>
              <w:t>2</w:t>
            </w:r>
          </w:p>
        </w:tc>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D10</w:t>
            </w:r>
          </w:p>
        </w:tc>
        <w:tc>
          <w:tcPr>
            <w:tcW w:type="dxa" w:w="4781"/>
            <w:vAlign w:val="center"/>
            <w:shd w:fill="FFFFFF"/>
            <w:tcMar>
              <w:top w:w="80" w:type="dxa"/>
              <w:bottom w:w="80" w:type="dxa"/>
              <w:left w:w="80" w:type="dxa"/>
              <w:right w:w="80" w:type="dxa"/>
            </w:tcMar>
          </w:tcPr>
          <w:p>
            <w:pPr>
              <w:spacing w:after="40" w:line="245" w:lineRule="auto"/>
            </w:pPr>
            <w:r>
              <w:rPr>
                <w:rFonts w:ascii="Arial" w:hAnsi="Arial"/>
                <w:b w:val="0"/>
                <w:color w:val="000000"/>
                <w:sz w:val="18"/>
              </w:rPr>
              <w:t>NO</w:t>
            </w:r>
          </w:p>
        </w:tc>
      </w:tr>
      <w:tr>
        <w:trPr>
          <w:cantSplit/>
        </w:trPr>
        <w:tc>
          <w:tcPr>
            <w:tcW w:type="dxa" w:w="1728"/>
            <w:vAlign w:val="center"/>
            <w:shd w:fill="F2F5F7"/>
            <w:tcMar>
              <w:top w:w="80" w:type="dxa"/>
              <w:bottom w:w="80" w:type="dxa"/>
              <w:left w:w="80" w:type="dxa"/>
              <w:right w:w="80" w:type="dxa"/>
            </w:tcMar>
          </w:tcPr>
          <w:p>
            <w:pPr>
              <w:spacing w:after="40" w:line="245" w:lineRule="auto"/>
            </w:pPr>
            <w:r>
              <w:rPr>
                <w:rFonts w:ascii="Arial" w:hAnsi="Arial"/>
                <w:b w:val="0"/>
                <w:color w:val="000000"/>
                <w:sz w:val="18"/>
              </w:rPr>
              <w:t>13836227</w:t>
            </w:r>
          </w:p>
        </w:tc>
        <w:tc>
          <w:tcPr>
            <w:tcW w:type="dxa" w:w="1483"/>
            <w:vAlign w:val="center"/>
            <w:shd w:fill="F2F5F7"/>
            <w:tcMar>
              <w:top w:w="80" w:type="dxa"/>
              <w:bottom w:w="80" w:type="dxa"/>
              <w:left w:w="80" w:type="dxa"/>
              <w:right w:w="80" w:type="dxa"/>
            </w:tcMar>
          </w:tcPr>
          <w:p>
            <w:pPr>
              <w:spacing w:after="40" w:line="245" w:lineRule="auto"/>
            </w:pPr>
            <w:r>
              <w:rPr>
                <w:rFonts w:ascii="Arial" w:hAnsi="Arial"/>
                <w:b w:val="0"/>
                <w:color w:val="000000"/>
                <w:sz w:val="18"/>
              </w:rPr>
              <w:t>4200</w:t>
            </w:r>
          </w:p>
        </w:tc>
        <w:tc>
          <w:tcPr>
            <w:tcW w:type="dxa" w:w="1152"/>
            <w:vAlign w:val="center"/>
            <w:shd w:fill="F2F5F7"/>
            <w:tcMar>
              <w:top w:w="80" w:type="dxa"/>
              <w:bottom w:w="80" w:type="dxa"/>
              <w:left w:w="80" w:type="dxa"/>
              <w:right w:w="80" w:type="dxa"/>
            </w:tcMar>
          </w:tcPr>
          <w:p>
            <w:pPr>
              <w:spacing w:after="40" w:line="245" w:lineRule="auto"/>
            </w:pPr>
            <w:r>
              <w:rPr>
                <w:rFonts w:ascii="Arial" w:hAnsi="Arial"/>
                <w:b w:val="0"/>
                <w:color w:val="000000"/>
                <w:sz w:val="18"/>
              </w:rPr>
              <w:t>2</w:t>
            </w:r>
          </w:p>
        </w:tc>
        <w:tc>
          <w:tcPr>
            <w:tcW w:type="dxa" w:w="1080"/>
            <w:vAlign w:val="center"/>
            <w:shd w:fill="F2F5F7"/>
            <w:tcMar>
              <w:top w:w="80" w:type="dxa"/>
              <w:bottom w:w="80" w:type="dxa"/>
              <w:left w:w="80" w:type="dxa"/>
              <w:right w:w="80" w:type="dxa"/>
            </w:tcMar>
          </w:tcPr>
          <w:p>
            <w:pPr>
              <w:spacing w:after="40" w:line="245" w:lineRule="auto"/>
            </w:pPr>
            <w:r>
              <w:rPr>
                <w:rFonts w:ascii="Arial" w:hAnsi="Arial"/>
                <w:b w:val="0"/>
                <w:color w:val="000000"/>
                <w:sz w:val="18"/>
              </w:rPr>
              <w:t>D10</w:t>
            </w:r>
          </w:p>
        </w:tc>
        <w:tc>
          <w:tcPr>
            <w:tcW w:type="dxa" w:w="4781"/>
            <w:vAlign w:val="center"/>
            <w:shd w:fill="F2F5F7"/>
            <w:tcMar>
              <w:top w:w="80" w:type="dxa"/>
              <w:bottom w:w="80" w:type="dxa"/>
              <w:left w:w="80" w:type="dxa"/>
              <w:right w:w="80" w:type="dxa"/>
            </w:tcMar>
          </w:tcPr>
          <w:p>
            <w:pPr>
              <w:spacing w:after="40" w:line="245" w:lineRule="auto"/>
            </w:pPr>
            <w:r>
              <w:rPr>
                <w:rFonts w:ascii="Arial" w:hAnsi="Arial"/>
                <w:b w:val="0"/>
                <w:color w:val="000000"/>
                <w:sz w:val="18"/>
              </w:rPr>
              <w:t>NO</w:t>
            </w:r>
          </w:p>
        </w:tc>
      </w:tr>
    </w:tbl>
    <w:p>
      <w:pPr>
        <w:spacing w:after="0"/>
      </w:pPr>
    </w:p>
    <w:p>
      <w:r>
        <w:t>Across completed persona turns, 6 of 20 displayed verified recommendation occurrences violate the intended bedroom minimum, in RN04 and RN05. RN06 retains the wrong operator although its displayed prefix happens to contain three-bedroom listings. These dependent, authored examples establish a reproducible intake defect; they do not estimate general recommendation precision or user satisfaction.</w:t>
      </w:r>
    </w:p>
    <w:p>
      <w:r>
        <w:br w:type="page"/>
      </w:r>
    </w:p>
    <w:p>
      <w:pPr>
        <w:pStyle w:val="Heading1"/>
      </w:pPr>
      <w:r>
        <w:t>Baseline persona outcomes and findings</w:t>
      </w:r>
    </w:p>
    <w:tbl>
      <w:tblPr>
        <w:tblW w:type="auto" w:w="0"/>
        <w:tblLayout w:type="fixed"/>
        <w:tblLook w:firstColumn="1" w:firstRow="1" w:lastColumn="0" w:lastRow="0" w:noHBand="0" w:noVBand="1" w:val="04A0"/>
      </w:tblPr>
      <w:tblGrid>
        <w:gridCol w:w="3384"/>
        <w:gridCol w:w="792"/>
        <w:gridCol w:w="6048"/>
      </w:tblGrid>
      <w:tr>
        <w:trPr>
          <w:cantSplit/>
          <w:tblHeader/>
        </w:trPr>
        <w:tc>
          <w:tcPr>
            <w:tcW w:type="dxa" w:w="3384"/>
            <w:vAlign w:val="center"/>
            <w:shd w:fill="203C53"/>
            <w:tcMar>
              <w:top w:w="80" w:type="dxa"/>
              <w:bottom w:w="80" w:type="dxa"/>
              <w:left w:w="80" w:type="dxa"/>
              <w:right w:w="80" w:type="dxa"/>
            </w:tcMar>
          </w:tcPr>
          <w:p>
            <w:pPr>
              <w:spacing w:after="40" w:line="245" w:lineRule="auto"/>
            </w:pPr>
            <w:r>
              <w:rPr>
                <w:rFonts w:ascii="Arial" w:hAnsi="Arial"/>
                <w:b/>
                <w:color w:val="FFFFFF"/>
                <w:sz w:val="18"/>
              </w:rPr>
              <w:t>Persona and turns</w:t>
            </w:r>
          </w:p>
        </w:tc>
        <w:tc>
          <w:tcPr>
            <w:tcW w:type="dxa" w:w="792"/>
            <w:vAlign w:val="center"/>
            <w:shd w:fill="203C53"/>
            <w:tcMar>
              <w:top w:w="80" w:type="dxa"/>
              <w:bottom w:w="80" w:type="dxa"/>
              <w:left w:w="80" w:type="dxa"/>
              <w:right w:w="80" w:type="dxa"/>
            </w:tcMar>
          </w:tcPr>
          <w:p>
            <w:pPr>
              <w:spacing w:after="40" w:line="245" w:lineRule="auto"/>
            </w:pPr>
            <w:r>
              <w:rPr>
                <w:rFonts w:ascii="Arial" w:hAnsi="Arial"/>
                <w:b/>
                <w:color w:val="FFFFFF"/>
                <w:sz w:val="18"/>
              </w:rPr>
              <w:t>Passes</w:t>
            </w:r>
          </w:p>
        </w:tc>
        <w:tc>
          <w:tcPr>
            <w:tcW w:type="dxa" w:w="6048"/>
            <w:vAlign w:val="center"/>
            <w:shd w:fill="203C53"/>
            <w:tcMar>
              <w:top w:w="80" w:type="dxa"/>
              <w:bottom w:w="80" w:type="dxa"/>
              <w:left w:w="80" w:type="dxa"/>
              <w:right w:w="80" w:type="dxa"/>
            </w:tcMar>
          </w:tcPr>
          <w:p>
            <w:pPr>
              <w:spacing w:after="40" w:line="245" w:lineRule="auto"/>
            </w:pPr>
            <w:r>
              <w:rPr>
                <w:rFonts w:ascii="Arial" w:hAnsi="Arial"/>
                <w:b/>
                <w:color w:val="FFFFFF"/>
                <w:sz w:val="18"/>
              </w:rPr>
              <w:t>Observed behavior</w:t>
            </w:r>
          </w:p>
        </w:tc>
      </w:tr>
      <w:tr>
        <w:trPr>
          <w:cantSplit/>
        </w:trPr>
        <w:tc>
          <w:tcPr>
            <w:tcW w:type="dxa" w:w="3384"/>
            <w:vAlign w:val="center"/>
            <w:shd w:fill="FFFFFF"/>
            <w:tcMar>
              <w:top w:w="80" w:type="dxa"/>
              <w:bottom w:w="80" w:type="dxa"/>
              <w:left w:w="80" w:type="dxa"/>
              <w:right w:w="80" w:type="dxa"/>
            </w:tcMar>
          </w:tcPr>
          <w:p>
            <w:pPr>
              <w:spacing w:after="40" w:line="245" w:lineRule="auto"/>
            </w:pPr>
            <w:r>
              <w:rPr>
                <w:rFonts w:ascii="Arial" w:hAnsi="Arial"/>
                <w:b w:val="0"/>
                <w:color w:val="000000"/>
                <w:sz w:val="18"/>
              </w:rPr>
              <w:t>Student budget and private bathroom | RN01 to RN03</w:t>
            </w:r>
          </w:p>
        </w:tc>
        <w:tc>
          <w:tcPr>
            <w:tcW w:type="dxa" w:w="792"/>
            <w:vAlign w:val="center"/>
            <w:shd w:fill="FFFFFF"/>
            <w:tcMar>
              <w:top w:w="80" w:type="dxa"/>
              <w:bottom w:w="80" w:type="dxa"/>
              <w:left w:w="80" w:type="dxa"/>
              <w:right w:w="80" w:type="dxa"/>
            </w:tcMar>
          </w:tcPr>
          <w:p>
            <w:pPr>
              <w:spacing w:after="40" w:line="245" w:lineRule="auto"/>
            </w:pPr>
            <w:r>
              <w:rPr>
                <w:rFonts w:ascii="Arial" w:hAnsi="Arial"/>
                <w:b w:val="0"/>
                <w:color w:val="000000"/>
                <w:sz w:val="18"/>
              </w:rPr>
              <w:t>3/3</w:t>
            </w:r>
          </w:p>
        </w:tc>
        <w:tc>
          <w:tcPr>
            <w:tcW w:type="dxa" w:w="6048"/>
            <w:vAlign w:val="center"/>
            <w:shd w:fill="FFFFFF"/>
            <w:tcMar>
              <w:top w:w="80" w:type="dxa"/>
              <w:bottom w:w="80" w:type="dxa"/>
              <w:left w:w="80" w:type="dxa"/>
              <w:right w:w="80" w:type="dxa"/>
            </w:tcMar>
          </w:tcPr>
          <w:p>
            <w:pPr>
              <w:spacing w:after="40" w:line="245" w:lineRule="auto"/>
            </w:pPr>
            <w:r>
              <w:rPr>
                <w:rFonts w:ascii="Arial" w:hAnsi="Arial"/>
                <w:b w:val="0"/>
                <w:color w:val="000000"/>
                <w:sz w:val="18"/>
              </w:rPr>
              <w:t>Budget reduction retains district and bedroom requirements; unknown hard bathroom condition yields no verified recommendations.</w:t>
            </w:r>
          </w:p>
        </w:tc>
      </w:tr>
      <w:tr>
        <w:trPr>
          <w:cantSplit/>
        </w:trPr>
        <w:tc>
          <w:tcPr>
            <w:tcW w:type="dxa" w:w="3384"/>
            <w:vAlign w:val="center"/>
            <w:shd w:fill="F2F5F7"/>
            <w:tcMar>
              <w:top w:w="80" w:type="dxa"/>
              <w:bottom w:w="80" w:type="dxa"/>
              <w:left w:w="80" w:type="dxa"/>
              <w:right w:w="80" w:type="dxa"/>
            </w:tcMar>
          </w:tcPr>
          <w:p>
            <w:pPr>
              <w:spacing w:after="40" w:line="245" w:lineRule="auto"/>
            </w:pPr>
            <w:r>
              <w:rPr>
                <w:rFonts w:ascii="Arial" w:hAnsi="Arial"/>
                <w:b w:val="0"/>
                <w:color w:val="000000"/>
                <w:sz w:val="18"/>
              </w:rPr>
              <w:t>English family and floor area | RN04 to RN06</w:t>
            </w:r>
          </w:p>
        </w:tc>
        <w:tc>
          <w:tcPr>
            <w:tcW w:type="dxa" w:w="792"/>
            <w:vAlign w:val="center"/>
            <w:shd w:fill="F2F5F7"/>
            <w:tcMar>
              <w:top w:w="80" w:type="dxa"/>
              <w:bottom w:w="80" w:type="dxa"/>
              <w:left w:w="80" w:type="dxa"/>
              <w:right w:w="80" w:type="dxa"/>
            </w:tcMar>
          </w:tcPr>
          <w:p>
            <w:pPr>
              <w:spacing w:after="40" w:line="245" w:lineRule="auto"/>
            </w:pPr>
            <w:r>
              <w:rPr>
                <w:rFonts w:ascii="Arial" w:hAnsi="Arial"/>
                <w:b w:val="0"/>
                <w:color w:val="000000"/>
                <w:sz w:val="18"/>
              </w:rPr>
              <w:t>0/3</w:t>
            </w:r>
          </w:p>
        </w:tc>
        <w:tc>
          <w:tcPr>
            <w:tcW w:type="dxa" w:w="6048"/>
            <w:vAlign w:val="center"/>
            <w:shd w:fill="F2F5F7"/>
            <w:tcMar>
              <w:top w:w="80" w:type="dxa"/>
              <w:bottom w:w="80" w:type="dxa"/>
              <w:left w:w="80" w:type="dxa"/>
              <w:right w:w="80" w:type="dxa"/>
            </w:tcMar>
          </w:tcPr>
          <w:p>
            <w:pPr>
              <w:spacing w:after="40" w:line="245" w:lineRule="auto"/>
            </w:pPr>
            <w:r>
              <w:rPr>
                <w:rFonts w:ascii="Arial" w:hAnsi="Arial"/>
                <w:b w:val="0"/>
                <w:color w:val="000000"/>
                <w:sz w:val="18"/>
              </w:rPr>
              <w:t>Bedroom comparison is reversed and carried through later district and area refinements.</w:t>
            </w:r>
          </w:p>
        </w:tc>
      </w:tr>
      <w:tr>
        <w:trPr>
          <w:cantSplit/>
        </w:trPr>
        <w:tc>
          <w:tcPr>
            <w:tcW w:type="dxa" w:w="3384"/>
            <w:vAlign w:val="center"/>
            <w:shd w:fill="FFFFFF"/>
            <w:tcMar>
              <w:top w:w="80" w:type="dxa"/>
              <w:bottom w:w="80" w:type="dxa"/>
              <w:left w:w="80" w:type="dxa"/>
              <w:right w:w="80" w:type="dxa"/>
            </w:tcMar>
          </w:tcPr>
          <w:p>
            <w:pPr>
              <w:spacing w:after="40" w:line="245" w:lineRule="auto"/>
            </w:pPr>
            <w:r>
              <w:rPr>
                <w:rFonts w:ascii="Arial" w:hAnsi="Arial"/>
                <w:b w:val="0"/>
                <w:color w:val="000000"/>
                <w:sz w:val="18"/>
              </w:rPr>
              <w:t>NUS radius and lease/furniture | RN07 to RN09</w:t>
            </w:r>
          </w:p>
        </w:tc>
        <w:tc>
          <w:tcPr>
            <w:tcW w:type="dxa" w:w="792"/>
            <w:vAlign w:val="center"/>
            <w:shd w:fill="FFFFFF"/>
            <w:tcMar>
              <w:top w:w="80" w:type="dxa"/>
              <w:bottom w:w="80" w:type="dxa"/>
              <w:left w:w="80" w:type="dxa"/>
              <w:right w:w="80" w:type="dxa"/>
            </w:tcMar>
          </w:tcPr>
          <w:p>
            <w:pPr>
              <w:spacing w:after="40" w:line="245" w:lineRule="auto"/>
            </w:pPr>
            <w:r>
              <w:rPr>
                <w:rFonts w:ascii="Arial" w:hAnsi="Arial"/>
                <w:b w:val="0"/>
                <w:color w:val="000000"/>
                <w:sz w:val="18"/>
              </w:rPr>
              <w:t>0/3</w:t>
            </w:r>
          </w:p>
        </w:tc>
        <w:tc>
          <w:tcPr>
            <w:tcW w:type="dxa" w:w="6048"/>
            <w:vAlign w:val="center"/>
            <w:shd w:fill="FFFFFF"/>
            <w:tcMar>
              <w:top w:w="80" w:type="dxa"/>
              <w:bottom w:w="80" w:type="dxa"/>
              <w:left w:w="80" w:type="dxa"/>
              <w:right w:w="80" w:type="dxa"/>
            </w:tcMar>
          </w:tcPr>
          <w:p>
            <w:pPr>
              <w:spacing w:after="40" w:line="245" w:lineRule="auto"/>
            </w:pPr>
            <w:r>
              <w:rPr>
                <w:rFonts w:ascii="Arial" w:hAnsi="Arial"/>
                <w:b w:val="0"/>
                <w:color w:val="000000"/>
                <w:sz w:val="18"/>
              </w:rPr>
              <w:t>Distance wording becomes part of the destination name. Unresolved place questions block later turns.</w:t>
            </w:r>
          </w:p>
        </w:tc>
      </w:tr>
      <w:tr>
        <w:trPr>
          <w:cantSplit/>
        </w:trPr>
        <w:tc>
          <w:tcPr>
            <w:tcW w:type="dxa" w:w="3384"/>
            <w:vAlign w:val="center"/>
            <w:shd w:fill="F2F5F7"/>
            <w:tcMar>
              <w:top w:w="80" w:type="dxa"/>
              <w:bottom w:w="80" w:type="dxa"/>
              <w:left w:w="80" w:type="dxa"/>
              <w:right w:w="80" w:type="dxa"/>
            </w:tcMar>
          </w:tcPr>
          <w:p>
            <w:pPr>
              <w:spacing w:after="40" w:line="245" w:lineRule="auto"/>
            </w:pPr>
            <w:r>
              <w:rPr>
                <w:rFonts w:ascii="Arial" w:hAnsi="Arial"/>
                <w:b w:val="0"/>
                <w:color w:val="000000"/>
                <w:sz w:val="18"/>
              </w:rPr>
              <w:t>District preference and cancellation | RN10 to RN12</w:t>
            </w:r>
          </w:p>
        </w:tc>
        <w:tc>
          <w:tcPr>
            <w:tcW w:type="dxa" w:w="792"/>
            <w:vAlign w:val="center"/>
            <w:shd w:fill="F2F5F7"/>
            <w:tcMar>
              <w:top w:w="80" w:type="dxa"/>
              <w:bottom w:w="80" w:type="dxa"/>
              <w:left w:w="80" w:type="dxa"/>
              <w:right w:w="80" w:type="dxa"/>
            </w:tcMar>
          </w:tcPr>
          <w:p>
            <w:pPr>
              <w:spacing w:after="40" w:line="245" w:lineRule="auto"/>
            </w:pPr>
            <w:r>
              <w:rPr>
                <w:rFonts w:ascii="Arial" w:hAnsi="Arial"/>
                <w:b w:val="0"/>
                <w:color w:val="000000"/>
                <w:sz w:val="18"/>
              </w:rPr>
              <w:t>1/3</w:t>
            </w:r>
          </w:p>
        </w:tc>
        <w:tc>
          <w:tcPr>
            <w:tcW w:type="dxa" w:w="6048"/>
            <w:vAlign w:val="center"/>
            <w:shd w:fill="F2F5F7"/>
            <w:tcMar>
              <w:top w:w="80" w:type="dxa"/>
              <w:bottom w:w="80" w:type="dxa"/>
              <w:left w:w="80" w:type="dxa"/>
              <w:right w:w="80" w:type="dxa"/>
            </w:tcMar>
          </w:tcPr>
          <w:p>
            <w:pPr>
              <w:spacing w:after="40" w:line="245" w:lineRule="auto"/>
            </w:pPr>
            <w:r>
              <w:rPr>
                <w:rFonts w:ascii="Arial" w:hAnsi="Arial"/>
                <w:b w:val="0"/>
                <w:color w:val="000000"/>
                <w:sz w:val="18"/>
              </w:rPr>
              <w:t>Preference becomes hard; RN10 exhausts its model loop. RN11 handles the hard request. RN12 cannot cancel the restriction.</w:t>
            </w:r>
          </w:p>
        </w:tc>
      </w:tr>
    </w:tbl>
    <w:p>
      <w:pPr>
        <w:spacing w:after="0"/>
      </w:pPr>
    </w:p>
    <w:tbl>
      <w:tblPr>
        <w:tblW w:type="auto" w:w="0"/>
        <w:tblLayout w:type="fixed"/>
        <w:tblLook w:firstColumn="1" w:firstRow="1" w:lastColumn="0" w:lastRow="0" w:noHBand="0" w:noVBand="1" w:val="04A0"/>
      </w:tblPr>
      <w:tblGrid>
        <w:gridCol w:w="1080"/>
        <w:gridCol w:w="4867"/>
        <w:gridCol w:w="4277"/>
      </w:tblGrid>
      <w:tr>
        <w:trPr>
          <w:cantSplit/>
          <w:tblHeader/>
        </w:trPr>
        <w:tc>
          <w:tcPr>
            <w:tcW w:type="dxa" w:w="1080"/>
            <w:vAlign w:val="center"/>
            <w:shd w:fill="203C53"/>
            <w:tcMar>
              <w:top w:w="80" w:type="dxa"/>
              <w:bottom w:w="80" w:type="dxa"/>
              <w:left w:w="80" w:type="dxa"/>
              <w:right w:w="80" w:type="dxa"/>
            </w:tcMar>
          </w:tcPr>
          <w:p>
            <w:pPr>
              <w:spacing w:after="40" w:line="245" w:lineRule="auto"/>
            </w:pPr>
            <w:r>
              <w:rPr>
                <w:rFonts w:ascii="Arial" w:hAnsi="Arial"/>
                <w:b/>
                <w:color w:val="FFFFFF"/>
                <w:sz w:val="18"/>
              </w:rPr>
              <w:t>Issue</w:t>
            </w:r>
          </w:p>
        </w:tc>
        <w:tc>
          <w:tcPr>
            <w:tcW w:type="dxa" w:w="4867"/>
            <w:vAlign w:val="center"/>
            <w:shd w:fill="203C53"/>
            <w:tcMar>
              <w:top w:w="80" w:type="dxa"/>
              <w:bottom w:w="80" w:type="dxa"/>
              <w:left w:w="80" w:type="dxa"/>
              <w:right w:w="80" w:type="dxa"/>
            </w:tcMar>
          </w:tcPr>
          <w:p>
            <w:pPr>
              <w:spacing w:after="40" w:line="245" w:lineRule="auto"/>
            </w:pPr>
            <w:r>
              <w:rPr>
                <w:rFonts w:ascii="Arial" w:hAnsi="Arial"/>
                <w:b/>
                <w:color w:val="FFFFFF"/>
                <w:sz w:val="18"/>
              </w:rPr>
              <w:t>Priority and reproducible finding</w:t>
            </w:r>
          </w:p>
        </w:tc>
        <w:tc>
          <w:tcPr>
            <w:tcW w:type="dxa" w:w="4277"/>
            <w:vAlign w:val="center"/>
            <w:shd w:fill="203C53"/>
            <w:tcMar>
              <w:top w:w="80" w:type="dxa"/>
              <w:bottom w:w="80" w:type="dxa"/>
              <w:left w:w="80" w:type="dxa"/>
              <w:right w:w="80" w:type="dxa"/>
            </w:tcMar>
          </w:tcPr>
          <w:p>
            <w:pPr>
              <w:spacing w:after="40" w:line="245" w:lineRule="auto"/>
            </w:pPr>
            <w:r>
              <w:rPr>
                <w:rFonts w:ascii="Arial" w:hAnsi="Arial"/>
                <w:b/>
                <w:color w:val="FFFFFF"/>
                <w:sz w:val="18"/>
              </w:rPr>
              <w:t>Owner and next action</w:t>
            </w:r>
          </w:p>
        </w:tc>
      </w:tr>
      <w:tr>
        <w:trPr>
          <w:cantSplit/>
        </w:trPr>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DEF09</w:t>
            </w:r>
          </w:p>
        </w:tc>
        <w:tc>
          <w:tcPr>
            <w:tcW w:type="dxa" w:w="4867"/>
            <w:vAlign w:val="center"/>
            <w:shd w:fill="FFFFFF"/>
            <w:tcMar>
              <w:top w:w="80" w:type="dxa"/>
              <w:bottom w:w="80" w:type="dxa"/>
              <w:left w:w="80" w:type="dxa"/>
              <w:right w:w="80" w:type="dxa"/>
            </w:tcMar>
          </w:tcPr>
          <w:p>
            <w:pPr>
              <w:spacing w:after="40" w:line="245" w:lineRule="auto"/>
            </w:pPr>
            <w:r>
              <w:rPr>
                <w:rFonts w:ascii="Arial" w:hAnsi="Arial"/>
                <w:b w:val="0"/>
                <w:color w:val="000000"/>
                <w:sz w:val="18"/>
              </w:rPr>
              <w:t>High. Clause-level comparison picks no more from the rent phrase for the bedroom minimum.</w:t>
            </w:r>
          </w:p>
        </w:tc>
        <w:tc>
          <w:tcPr>
            <w:tcW w:type="dxa" w:w="4277"/>
            <w:vAlign w:val="center"/>
            <w:shd w:fill="FFFFFF"/>
            <w:tcMar>
              <w:top w:w="80" w:type="dxa"/>
              <w:bottom w:w="80" w:type="dxa"/>
              <w:left w:w="80" w:type="dxa"/>
              <w:right w:w="80" w:type="dxa"/>
            </w:tcMar>
          </w:tcPr>
          <w:p>
            <w:pPr>
              <w:spacing w:after="40" w:line="245" w:lineRule="auto"/>
            </w:pPr>
            <w:r>
              <w:rPr>
                <w:rFonts w:ascii="Arial" w:hAnsi="Arial"/>
                <w:b w:val="0"/>
                <w:color w:val="000000"/>
                <w:sz w:val="18"/>
              </w:rPr>
              <w:t>Intake owner: bind each comparison to its attribute and rerun mixed English bounds.</w:t>
            </w:r>
          </w:p>
        </w:tc>
      </w:tr>
      <w:tr>
        <w:trPr>
          <w:cantSplit/>
        </w:trPr>
        <w:tc>
          <w:tcPr>
            <w:tcW w:type="dxa" w:w="1080"/>
            <w:vAlign w:val="center"/>
            <w:shd w:fill="F2F5F7"/>
            <w:tcMar>
              <w:top w:w="80" w:type="dxa"/>
              <w:bottom w:w="80" w:type="dxa"/>
              <w:left w:w="80" w:type="dxa"/>
              <w:right w:w="80" w:type="dxa"/>
            </w:tcMar>
          </w:tcPr>
          <w:p>
            <w:pPr>
              <w:spacing w:after="40" w:line="245" w:lineRule="auto"/>
            </w:pPr>
            <w:r>
              <w:rPr>
                <w:rFonts w:ascii="Arial" w:hAnsi="Arial"/>
                <w:b w:val="0"/>
                <w:color w:val="000000"/>
                <w:sz w:val="18"/>
              </w:rPr>
              <w:t>DEF10</w:t>
            </w:r>
          </w:p>
        </w:tc>
        <w:tc>
          <w:tcPr>
            <w:tcW w:type="dxa" w:w="4867"/>
            <w:vAlign w:val="center"/>
            <w:shd w:fill="F2F5F7"/>
            <w:tcMar>
              <w:top w:w="80" w:type="dxa"/>
              <w:bottom w:w="80" w:type="dxa"/>
              <w:left w:w="80" w:type="dxa"/>
              <w:right w:w="80" w:type="dxa"/>
            </w:tcMar>
          </w:tcPr>
          <w:p>
            <w:pPr>
              <w:spacing w:after="40" w:line="245" w:lineRule="auto"/>
            </w:pPr>
            <w:r>
              <w:rPr>
                <w:rFonts w:ascii="Arial" w:hAnsi="Arial"/>
                <w:b w:val="0"/>
                <w:color w:val="000000"/>
                <w:sz w:val="18"/>
              </w:rPr>
              <w:t>Medium. NUS location names include straight-line distance or adjustment wording.</w:t>
            </w:r>
          </w:p>
        </w:tc>
        <w:tc>
          <w:tcPr>
            <w:tcW w:type="dxa" w:w="4277"/>
            <w:vAlign w:val="center"/>
            <w:shd w:fill="F2F5F7"/>
            <w:tcMar>
              <w:top w:w="80" w:type="dxa"/>
              <w:bottom w:w="80" w:type="dxa"/>
              <w:left w:w="80" w:type="dxa"/>
              <w:right w:w="80" w:type="dxa"/>
            </w:tcMar>
          </w:tcPr>
          <w:p>
            <w:pPr>
              <w:spacing w:after="40" w:line="245" w:lineRule="auto"/>
            </w:pPr>
            <w:r>
              <w:rPr>
                <w:rFonts w:ascii="Arial" w:hAnsi="Arial"/>
                <w:b w:val="0"/>
                <w:color w:val="000000"/>
                <w:sz w:val="18"/>
              </w:rPr>
              <w:t>Geographic intake owner: separate the name, radius and revision, preserving pending requirements.</w:t>
            </w:r>
          </w:p>
        </w:tc>
      </w:tr>
      <w:tr>
        <w:trPr>
          <w:cantSplit/>
        </w:trPr>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DEF11</w:t>
            </w:r>
          </w:p>
        </w:tc>
        <w:tc>
          <w:tcPr>
            <w:tcW w:type="dxa" w:w="4867"/>
            <w:vAlign w:val="center"/>
            <w:shd w:fill="FFFFFF"/>
            <w:tcMar>
              <w:top w:w="80" w:type="dxa"/>
              <w:bottom w:w="80" w:type="dxa"/>
              <w:left w:w="80" w:type="dxa"/>
              <w:right w:w="80" w:type="dxa"/>
            </w:tcMar>
          </w:tcPr>
          <w:p>
            <w:pPr>
              <w:spacing w:after="40" w:line="245" w:lineRule="auto"/>
            </w:pPr>
            <w:r>
              <w:rPr>
                <w:rFonts w:ascii="Arial" w:hAnsi="Arial"/>
                <w:b w:val="0"/>
                <w:color w:val="000000"/>
                <w:sz w:val="18"/>
              </w:rPr>
              <w:t>Medium. Preferred D05 is stored as hard. RN10 also ends with LOOP_EXHAUSTED despite HTTP 200 provider responses.</w:t>
            </w:r>
          </w:p>
        </w:tc>
        <w:tc>
          <w:tcPr>
            <w:tcW w:type="dxa" w:w="4277"/>
            <w:vAlign w:val="center"/>
            <w:shd w:fill="FFFFFF"/>
            <w:tcMar>
              <w:top w:w="80" w:type="dxa"/>
              <w:bottom w:w="80" w:type="dxa"/>
              <w:left w:w="80" w:type="dxa"/>
              <w:right w:w="80" w:type="dxa"/>
            </w:tcMar>
          </w:tcPr>
          <w:p>
            <w:pPr>
              <w:spacing w:after="40" w:line="245" w:lineRule="auto"/>
            </w:pPr>
            <w:r>
              <w:rPr>
                <w:rFonts w:ascii="Arial" w:hAnsi="Arial"/>
                <w:b w:val="0"/>
                <w:color w:val="000000"/>
                <w:sz w:val="18"/>
              </w:rPr>
              <w:t>Intake/native owners: retain preference strength and inspect the separate failed controller trace.</w:t>
            </w:r>
          </w:p>
        </w:tc>
      </w:tr>
      <w:tr>
        <w:trPr>
          <w:cantSplit/>
        </w:trPr>
        <w:tc>
          <w:tcPr>
            <w:tcW w:type="dxa" w:w="1080"/>
            <w:vAlign w:val="center"/>
            <w:shd w:fill="F2F5F7"/>
            <w:tcMar>
              <w:top w:w="80" w:type="dxa"/>
              <w:bottom w:w="80" w:type="dxa"/>
              <w:left w:w="80" w:type="dxa"/>
              <w:right w:w="80" w:type="dxa"/>
            </w:tcMar>
          </w:tcPr>
          <w:p>
            <w:pPr>
              <w:spacing w:after="40" w:line="245" w:lineRule="auto"/>
            </w:pPr>
            <w:r>
              <w:rPr>
                <w:rFonts w:ascii="Arial" w:hAnsi="Arial"/>
                <w:b w:val="0"/>
                <w:color w:val="000000"/>
                <w:sz w:val="18"/>
              </w:rPr>
              <w:t>DEF12</w:t>
            </w:r>
          </w:p>
        </w:tc>
        <w:tc>
          <w:tcPr>
            <w:tcW w:type="dxa" w:w="4867"/>
            <w:vAlign w:val="center"/>
            <w:shd w:fill="F2F5F7"/>
            <w:tcMar>
              <w:top w:w="80" w:type="dxa"/>
              <w:bottom w:w="80" w:type="dxa"/>
              <w:left w:w="80" w:type="dxa"/>
              <w:right w:w="80" w:type="dxa"/>
            </w:tcMar>
          </w:tcPr>
          <w:p>
            <w:pPr>
              <w:spacing w:after="40" w:line="245" w:lineRule="auto"/>
            </w:pPr>
            <w:r>
              <w:rPr>
                <w:rFonts w:ascii="Arial" w:hAnsi="Arial"/>
                <w:b w:val="0"/>
                <w:color w:val="000000"/>
                <w:sz w:val="18"/>
              </w:rPr>
              <w:t>Medium. Both model attempts propose an evidenced district removal, but the literal allowlist rejects the paraphrase.</w:t>
            </w:r>
          </w:p>
        </w:tc>
        <w:tc>
          <w:tcPr>
            <w:tcW w:type="dxa" w:w="4277"/>
            <w:vAlign w:val="center"/>
            <w:shd w:fill="F2F5F7"/>
            <w:tcMar>
              <w:top w:w="80" w:type="dxa"/>
              <w:bottom w:w="80" w:type="dxa"/>
              <w:left w:w="80" w:type="dxa"/>
              <w:right w:w="80" w:type="dxa"/>
            </w:tcMar>
          </w:tcPr>
          <w:p>
            <w:pPr>
              <w:spacing w:after="40" w:line="245" w:lineRule="auto"/>
            </w:pPr>
            <w:r>
              <w:rPr>
                <w:rFonts w:ascii="Arial" w:hAnsi="Arial"/>
                <w:b w:val="0"/>
                <w:color w:val="000000"/>
                <w:sz w:val="18"/>
              </w:rPr>
              <w:t>Intake owner: support explicit cancellation wording and preserve unrelated constraints.</w:t>
            </w:r>
          </w:p>
        </w:tc>
      </w:tr>
    </w:tbl>
    <w:p>
      <w:pPr>
        <w:spacing w:after="0"/>
      </w:pPr>
    </w:p>
    <w:p>
      <w:pPr>
        <w:pStyle w:val="Heading2"/>
      </w:pPr>
      <w:r>
        <w:t>Human relevance assessment remains open</w:t>
      </w:r>
    </w:p>
    <w:p>
      <w:r>
        <w:t>User_Relevance_Review_Template.json adds four unexecuted persona forms. A participant records priorities, rates each displayed result from 1 to 5, explains mismatches, identifies unknown information and states whether they would enquire or view. Overall fit and acceptance thresholds remain blank. The earlier eight-task UAT plan remains open. Automated contract fit does not supply participant ratings.</w:t>
      </w:r>
    </w:p>
    <w:p>
      <w:pPr>
        <w:pStyle w:val="Heading2"/>
      </w:pPr>
      <w:r>
        <w:t>Evidence and additional model usage</w:t>
      </w:r>
    </w:p>
    <w:p>
      <w:r>
        <w:t>All 44 cases, results, source checks and diagnostics are retained under evidence/recommendation_fit. Four read-only parser probes corroborate the intake findings without further model calls. The dialogue phase recorded 72 API attempts and 72 HTTP 200 responses, with 192,852 reported tokens. Provider reference cost was USD 0.015158118; it is not a verified subscription charge. A successful API response did not prevent business failures.</w:t>
      </w:r>
    </w:p>
    <w:p>
      <w:r>
        <w:t>At this baseline run, nine issue groups were open. No production source or original assertion had been changed in that phase. The following local remediation verifies DEF09 to DEF12, leaving DEF04 to DEF08 open. Historical failed receipts remain available; overall acceptance remains PENDING.</w:t>
      </w:r>
    </w:p>
    <w:p>
      <w:r>
        <w:br w:type="page"/>
      </w:r>
    </w:p>
    <w:p>
      <w:pPr>
        <w:pStyle w:val="Heading1"/>
      </w:pPr>
      <w:r>
        <w:t>Recommendation fit fixes and retest</w:t>
      </w:r>
    </w:p>
    <w:p>
      <w:r>
        <w:t>The unchanged catalogue passed 44/44 on the local patch. Structured tests still use real PostgreSQL and Neo4j with scripted tools; projection tests reuse the fresh RF01 response; all 12 dialogue turns use the deployed application, real model and live native controller. No failed dialogue case was removed or given a weaker expectation.</w:t>
      </w:r>
    </w:p>
    <w:tbl>
      <w:tblPr>
        <w:tblW w:type="auto" w:w="0"/>
        <w:tblLayout w:type="fixed"/>
        <w:tblLook w:firstColumn="1" w:firstRow="1" w:lastColumn="0" w:lastRow="0" w:noHBand="0" w:noVBand="1" w:val="04A0"/>
      </w:tblPr>
      <w:tblGrid>
        <w:gridCol w:w="1944"/>
        <w:gridCol w:w="1512"/>
        <w:gridCol w:w="1584"/>
        <w:gridCol w:w="5184"/>
      </w:tblGrid>
      <w:tr>
        <w:trPr>
          <w:cantSplit/>
          <w:tblHeader/>
        </w:trPr>
        <w:tc>
          <w:tcPr>
            <w:tcW w:type="dxa" w:w="1944"/>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Profile</w:t>
            </w:r>
          </w:p>
        </w:tc>
        <w:tc>
          <w:tcPr>
            <w:tcW w:type="dxa" w:w="1512"/>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Baseline</w:t>
            </w:r>
          </w:p>
        </w:tc>
        <w:tc>
          <w:tcPr>
            <w:tcW w:type="dxa" w:w="1584"/>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Local retest</w:t>
            </w:r>
          </w:p>
        </w:tc>
        <w:tc>
          <w:tcPr>
            <w:tcW w:type="dxa" w:w="5184"/>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Scope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Structured matching</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24/24 PASS</w:t>
            </w:r>
          </w:p>
        </w:tc>
        <w:tc>
          <w:tcPr>
            <w:tcW w:type="dxa" w:w="15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24/24 PASS</w:t>
            </w:r>
          </w:p>
        </w:tc>
        <w:tc>
          <w:tcPr>
            <w:tcW w:type="dxa" w:w="51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Full pool, exact top four, scores and hard conditions</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Evidence projection</w:t>
            </w:r>
          </w:p>
        </w:tc>
        <w:tc>
          <w:tcPr>
            <w:tcW w:type="dxa" w:w="1512"/>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8/8 PASS</w:t>
            </w:r>
          </w:p>
        </w:tc>
        <w:tc>
          <w:tcPr>
            <w:tcW w:type="dxa" w:w="158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8/8 PASS</w:t>
            </w:r>
          </w:p>
        </w:tc>
        <w:tc>
          <w:tcPr>
            <w:tcW w:type="dxa" w:w="518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Unknown conditions stay explicit; native response retained</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Deployed dialogue</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4/12 PASS</w:t>
            </w:r>
          </w:p>
        </w:tc>
        <w:tc>
          <w:tcPr>
            <w:tcW w:type="dxa" w:w="15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12/12 PASS</w:t>
            </w:r>
          </w:p>
        </w:tc>
        <w:tc>
          <w:tcPr>
            <w:tcW w:type="dxa" w:w="51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Four authored personas with three sequential turns each</w:t>
            </w:r>
          </w:p>
        </w:tc>
      </w:tr>
    </w:tbl>
    <w:p>
      <w:pPr>
        <w:spacing w:after="0"/>
      </w:pPr>
    </w:p>
    <w:p>
      <w:pPr>
        <w:pStyle w:val="Heading2"/>
      </w:pPr>
      <w:r>
        <w:t>Implemented changes</w:t>
      </w:r>
    </w:p>
    <w:tbl>
      <w:tblPr>
        <w:tblW w:type="auto" w:w="0"/>
        <w:tblLayout w:type="fixed"/>
        <w:tblLook w:firstColumn="1" w:firstRow="1" w:lastColumn="0" w:lastRow="0" w:noHBand="0" w:noVBand="1" w:val="04A0"/>
      </w:tblPr>
      <w:tblGrid>
        <w:gridCol w:w="1440"/>
        <w:gridCol w:w="4752"/>
        <w:gridCol w:w="4032"/>
      </w:tblGrid>
      <w:tr>
        <w:trPr>
          <w:cantSplit/>
          <w:tblHeader/>
        </w:trPr>
        <w:tc>
          <w:tcPr>
            <w:tcW w:type="dxa" w:w="1440"/>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Issue</w:t>
            </w:r>
          </w:p>
        </w:tc>
        <w:tc>
          <w:tcPr>
            <w:tcW w:type="dxa" w:w="4752"/>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Code change</w:t>
            </w:r>
          </w:p>
        </w:tc>
        <w:tc>
          <w:tcPr>
            <w:tcW w:type="dxa" w:w="4032"/>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Acceptance evidence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DEF09</w:t>
            </w:r>
          </w:p>
        </w:tc>
        <w:tc>
          <w:tcPr>
            <w:tcW w:type="dxa" w:w="47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rental-language.ts scopes each comparison to its numeric attribute instead of the entire clause.</w:t>
            </w:r>
          </w:p>
        </w:tc>
        <w:tc>
          <w:tcPr>
            <w:tcW w:type="dxa" w:w="40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RN04 to RN06 preserve bedrooms &gt;= 3 through district and area updates.</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DEF10</w:t>
            </w:r>
          </w:p>
        </w:tc>
        <w:tc>
          <w:tcPr>
            <w:tcW w:type="dxa" w:w="4752"/>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geo-intake.ts separates place identity; locations.ts resolves the bilingual NUS alias; requirements.ts clears only the resolved location question. Furnishing and lease phrasing retain exact values.</w:t>
            </w:r>
          </w:p>
        </w:tc>
        <w:tc>
          <w:tcPr>
            <w:tcW w:type="dxa" w:w="4032"/>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RN07 to RN09 resolve NUS, update 3 km to 2 km and retain the budget, fully furnished condition and six-month lease.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DEF11 intake</w:t>
            </w:r>
          </w:p>
        </w:tc>
        <w:tc>
          <w:tcPr>
            <w:tcW w:type="dxa" w:w="47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The district branch retains a local soft preference without inheriting another attribute's mandatory wording.</w:t>
            </w:r>
          </w:p>
        </w:tc>
        <w:tc>
          <w:tcPr>
            <w:tcW w:type="dxa" w:w="40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RN10 allows other districts; RN11 applies the explicit hard district requirement.</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DEF11 controller</w:t>
            </w:r>
          </w:p>
        </w:tc>
        <w:tc>
          <w:tcPr>
            <w:tcW w:type="dxa" w:w="4752"/>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controller.py completes an assessed empty ranking through final_gate and keeps tool history for bounded final-gate repairs.</w:t>
            </w:r>
          </w:p>
        </w:tc>
        <w:tc>
          <w:tcPr>
            <w:tcW w:type="dxa" w:w="4032"/>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RN09 and RN11 retain unknown candidates without verified matches. Controller regression checks cover empty results and invalid final-ID recovery.</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DEF12</w:t>
            </w:r>
          </w:p>
        </w:tc>
        <w:tc>
          <w:tcPr>
            <w:tcW w:type="dxa" w:w="47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District cancellation rules recognize the explicit user phrase. Existing source-evidence and removal-authorization checks remain.</w:t>
            </w:r>
          </w:p>
        </w:tc>
        <w:tc>
          <w:tcPr>
            <w:tcW w:type="dxa" w:w="40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RN12 removes all district restrictions and retains price &lt;= 2500 and bedrooms &gt;= 2.</w:t>
            </w:r>
          </w:p>
        </w:tc>
      </w:tr>
    </w:tbl>
    <w:p>
      <w:pPr>
        <w:spacing w:after="0"/>
      </w:pPr>
    </w:p>
    <w:p>
      <w:r>
        <w:t>Four fit issue groups are VERIFIED_LOCAL_FIX. The patch was successfully applied to a clean baseline copy and all ten resulting files matched the tested runtime. Review and integration into the team repository remain pending.</w:t>
      </w:r>
    </w:p>
    <w:p>
      <w:r>
        <w:br w:type="page"/>
      </w:r>
    </w:p>
    <w:p>
      <w:pPr>
        <w:pStyle w:val="Heading1"/>
      </w:pPr>
      <w:r>
        <w:t>Recommendation fit closure evidence</w:t>
      </w:r>
    </w:p>
    <w:tbl>
      <w:tblPr>
        <w:tblW w:type="auto" w:w="0"/>
        <w:tblLayout w:type="fixed"/>
        <w:tblLook w:firstColumn="1" w:firstRow="1" w:lastColumn="0" w:lastRow="0" w:noHBand="0" w:noVBand="1" w:val="04A0"/>
      </w:tblPr>
      <w:tblGrid>
        <w:gridCol w:w="864"/>
        <w:gridCol w:w="936"/>
        <w:gridCol w:w="936"/>
        <w:gridCol w:w="7488"/>
      </w:tblGrid>
      <w:tr>
        <w:trPr>
          <w:cantSplit/>
          <w:tblHeader/>
        </w:trPr>
        <w:tc>
          <w:tcPr>
            <w:tcW w:type="dxa" w:w="864"/>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Case</w:t>
            </w:r>
          </w:p>
        </w:tc>
        <w:tc>
          <w:tcPr>
            <w:tcW w:type="dxa" w:w="936"/>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Before</w:t>
            </w:r>
          </w:p>
        </w:tc>
        <w:tc>
          <w:tcPr>
            <w:tcW w:type="dxa" w:w="936"/>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After</w:t>
            </w:r>
          </w:p>
        </w:tc>
        <w:tc>
          <w:tcPr>
            <w:tcW w:type="dxa" w:w="7488"/>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Observed local result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RN04</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Bedrooms &gt;= 3, D10 and price &lt;= 6500; four verified results meet the user minimum.</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RN05</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D15 replaces D10; the bedroom minimum and rent cap remain correct.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RN06</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Area &gt;= 1200 sqft added while preserving bedrooms &gt;= 3 and the other requirements.</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RN07</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NUS resolves to the known place ID; 3000 m straight-line radius and SGD 3000 cap retained.</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RN08</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Radius changes to 2000 m without losing the budget or destination.</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RN09</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Fully furnished and lease_months = 6 stay hard; no verified matches and four pending candidates.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RN10</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D05 is soft; four verified results returned without loop exhaustion.</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RN12</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District restrictions removed; budget and bedroom requirements retained.</w:t>
            </w:r>
          </w:p>
        </w:tc>
      </w:tr>
    </w:tbl>
    <w:p>
      <w:pPr>
        <w:spacing w:after="0"/>
      </w:pPr>
    </w:p>
    <w:p>
      <w:r>
        <w:t>The independent oracle found zero user hard-requirement violations in 36 displayed verified dialogue occurrences. The earlier six violations in 20 baseline occurrences remain in the historical evidence. These samples and denominators differ; neither is a general recommendation-accuracy estimate.</w:t>
      </w:r>
    </w:p>
    <w:p>
      <w:pPr>
        <w:pStyle w:val="Heading2"/>
      </w:pPr>
      <w:r>
        <w:t>Code checks and provenance</w:t>
      </w:r>
    </w:p>
    <w:p>
      <w:r>
        <w:t>TypeScript: 168 passed and 19 skipped. Python: 216 passed and 3 skipped. Both TypeScript typechecks passed. The 26 new regressions comprise 19 intake checks, three native-controller checks and four provenance checks; they are supporting tests, not extra cases in the 44-case catalogue. All original existing test files are unchanged.</w:t>
      </w:r>
    </w:p>
    <w:p>
      <w:r>
        <w:t>The original 71-file upstream manifest remains unchanged. The provenance checker verifies 70 untouched ported files and one explicitly declared controller patch against both original and replacement hashes. It rejects undeclared edits and a reverted patch. Ranking and final validation source are unchanged.</w:t>
      </w:r>
    </w:p>
    <w:p>
      <w:pPr>
        <w:pStyle w:val="Heading2"/>
      </w:pPr>
      <w:r>
        <w:t>Model usage and remaining acceptance work</w:t>
      </w:r>
    </w:p>
    <w:p>
      <w:r>
        <w:t>This retest recorded 86 provider attempts, 85 HTTP 200 responses and one transport error followed by the configured retry. Reported usage was 264,915 tokens; provider reference cost was USD 0.020249052, not a verified subscription charge. All 12 dialogue operations completed. The outbox remained empty and owned services were stopped.</w:t>
      </w:r>
    </w:p>
    <w:p>
      <w:r>
        <w:t>Receipts are in evidence/recommendation_fit_fix; the patch and exact changed files are in code. DEF04 to DEF08, participant UAT, agreed performance acceptance, Windows deployment verification and signed team acceptance remain pending. A successful local recommendation retest does not close those items.</w:t>
      </w:r>
    </w:p>
    <w:p>
      <w:r>
        <w:br w:type="page"/>
      </w:r>
    </w:p>
    <w:p>
      <w:pPr>
        <w:pStyle w:val="Heading1"/>
      </w:pPr>
      <w:r>
        <w:t>Retesting and final acceptance work</w:t>
      </w:r>
    </w:p>
    <w:tbl>
      <w:tblPr>
        <w:tblW w:type="auto" w:w="0"/>
        <w:tblLayout w:type="fixed"/>
        <w:tblLook w:firstColumn="1" w:firstRow="1" w:lastColumn="0" w:lastRow="0" w:noHBand="0" w:noVBand="1" w:val="04A0"/>
      </w:tblPr>
      <w:tblGrid>
        <w:gridCol w:w="2304"/>
        <w:gridCol w:w="5904"/>
        <w:gridCol w:w="2016"/>
      </w:tblGrid>
      <w:tr>
        <w:trPr>
          <w:cantSplit/>
          <w:tblHeader/>
        </w:trPr>
        <w:tc>
          <w:tcPr>
            <w:tcW w:type="dxa" w:w="2304"/>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Previous issue</w:t>
            </w:r>
          </w:p>
        </w:tc>
        <w:tc>
          <w:tcPr>
            <w:tcW w:type="dxa" w:w="5904"/>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Current evidence</w:t>
            </w:r>
          </w:p>
        </w:tc>
        <w:tc>
          <w:tcPr>
            <w:tcW w:type="dxa" w:w="2016"/>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Disposition</w:t>
            </w:r>
          </w:p>
        </w:tc>
      </w:tr>
      <w:tr>
        <w:trPr>
          <w:cantSplit/>
        </w:trPr>
        <w:tc>
          <w:tcPr>
            <w:tcW w:type="dxa" w:w="230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DEF01 dependency paths</w:t>
            </w:r>
          </w:p>
        </w:tc>
        <w:tc>
          <w:tcPr>
            <w:tcW w:type="dxa" w:w="590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All referenced requirements files exist in the restored data layout; the root/native requirements loaded successfully.</w:t>
            </w:r>
          </w:p>
        </w:tc>
        <w:tc>
          <w:tcPr>
            <w:tcW w:type="dxa" w:w="201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FIX VERIFIED</w:t>
            </w:r>
          </w:p>
        </w:tc>
      </w:tr>
      <w:tr>
        <w:trPr>
          <w:cantSplit/>
        </w:trPr>
        <w:tc>
          <w:tcPr>
            <w:tcW w:type="dxa" w:w="2304"/>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DEF02 launcher paths</w:t>
            </w:r>
          </w:p>
        </w:tc>
        <w:tc>
          <w:tcPr>
            <w:tcW w:type="dxa" w:w="5904"/>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Referenced compose files and service entrypoints exist; equivalent services ran on macOS. The PowerShell launcher itself was not executed.</w:t>
            </w:r>
          </w:p>
        </w:tc>
        <w:tc>
          <w:tcPr>
            <w:tcW w:type="dxa" w:w="2016"/>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PATHS VERIFIED</w:t>
            </w:r>
          </w:p>
        </w:tc>
      </w:tr>
      <w:tr>
        <w:trPr>
          <w:cantSplit/>
        </w:trPr>
        <w:tc>
          <w:tcPr>
            <w:tcW w:type="dxa" w:w="230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DEF03 Python imports</w:t>
            </w:r>
          </w:p>
        </w:tc>
        <w:tc>
          <w:tcPr>
            <w:tcW w:type="dxa" w:w="590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205 selected offline tests collected and passed without the previous data.core import failure.</w:t>
            </w:r>
          </w:p>
        </w:tc>
        <w:tc>
          <w:tcPr>
            <w:tcW w:type="dxa" w:w="201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FIX VERIFIED</w:t>
            </w:r>
          </w:p>
        </w:tc>
      </w:tr>
    </w:tbl>
    <w:p>
      <w:pPr>
        <w:spacing w:after="0"/>
      </w:pPr>
    </w:p>
    <w:p>
      <w:pPr>
        <w:pStyle w:val="Heading2"/>
      </w:pPr>
      <w:r>
        <w:t>Acceptance work and ownership</w:t>
      </w:r>
    </w:p>
    <w:tbl>
      <w:tblPr>
        <w:tblW w:type="auto" w:w="0"/>
        <w:tblLayout w:type="fixed"/>
        <w:tblLook w:firstColumn="1" w:firstRow="1" w:lastColumn="0" w:lastRow="0" w:noHBand="0" w:noVBand="1" w:val="04A0"/>
      </w:tblPr>
      <w:tblGrid>
        <w:gridCol w:w="2232"/>
        <w:gridCol w:w="5976"/>
        <w:gridCol w:w="2016"/>
      </w:tblGrid>
      <w:tr>
        <w:trPr>
          <w:cantSplit/>
          <w:tblHeader/>
        </w:trPr>
        <w:tc>
          <w:tcPr>
            <w:tcW w:type="dxa" w:w="2232"/>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Work</w:t>
            </w:r>
          </w:p>
        </w:tc>
        <w:tc>
          <w:tcPr>
            <w:tcW w:type="dxa" w:w="5976"/>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Required evidence</w:t>
            </w:r>
          </w:p>
        </w:tc>
        <w:tc>
          <w:tcPr>
            <w:tcW w:type="dxa" w:w="2016"/>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Owner</w:t>
            </w:r>
          </w:p>
        </w:tc>
      </w:tr>
      <w:tr>
        <w:trPr>
          <w:cantSplit/>
        </w:trPr>
        <w:tc>
          <w:tcPr>
            <w:tcW w:type="dxa" w:w="22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Real model evaluation</w:t>
            </w:r>
          </w:p>
        </w:tc>
        <w:tc>
          <w:tcPr>
            <w:tcW w:type="dxa" w:w="597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Review and integrate the local patch verified by the frozen 44-case retest. Resolve DEF04 to DEF08 and rerun their affected suites. The recommendation-fit fixes do not close the earlier knowledge, intent, reply or HTTP issues. R01 remains FAIL.</w:t>
            </w:r>
          </w:p>
        </w:tc>
        <w:tc>
          <w:tcPr>
            <w:tcW w:type="dxa" w:w="201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QA and module owners</w:t>
            </w:r>
          </w:p>
        </w:tc>
      </w:tr>
      <w:tr>
        <w:trPr>
          <w:cantSplit/>
        </w:trPr>
        <w:tc>
          <w:tcPr>
            <w:tcW w:type="dxa" w:w="223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Live hybrid retrieval</w:t>
            </w:r>
          </w:p>
        </w:tc>
        <w:tc>
          <w:tcPr>
            <w:tcW w:type="dxa" w:w="5976"/>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Offline and real retrieval checks passed. Six actual process outage/recovery checks passed. The separate knowledge answer reliability cases remain open.</w:t>
            </w:r>
          </w:p>
        </w:tc>
        <w:tc>
          <w:tcPr>
            <w:tcW w:type="dxa" w:w="2016"/>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Knowledge owner</w:t>
            </w:r>
          </w:p>
        </w:tc>
      </w:tr>
      <w:tr>
        <w:trPr>
          <w:cantSplit/>
        </w:trPr>
        <w:tc>
          <w:tcPr>
            <w:tcW w:type="dxa" w:w="22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Participant UAT</w:t>
            </w:r>
          </w:p>
        </w:tc>
        <w:tc>
          <w:tcPr>
            <w:tcW w:type="dxa" w:w="597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Run the eight planned tasks with named participants. Use the additional four-profile relevance template to collect ranked-list ratings, unmet expectations and willingness to enquire. Reviewer and participant fields remain blank.</w:t>
            </w:r>
          </w:p>
        </w:tc>
        <w:tc>
          <w:tcPr>
            <w:tcW w:type="dxa" w:w="201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QA owner</w:t>
            </w:r>
          </w:p>
        </w:tc>
      </w:tr>
      <w:tr>
        <w:trPr>
          <w:cantSplit/>
        </w:trPr>
        <w:tc>
          <w:tcPr>
            <w:tcW w:type="dxa" w:w="223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Performance and deployment</w:t>
            </w:r>
          </w:p>
        </w:tc>
        <w:tc>
          <w:tcPr>
            <w:tcW w:type="dxa" w:w="5976"/>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Agree workload and latency/failure thresholds before formal performance acceptance. Extend the small warm-index observations and run the actual Windows launcher on its target platform.</w:t>
            </w:r>
          </w:p>
        </w:tc>
        <w:tc>
          <w:tcPr>
            <w:tcW w:type="dxa" w:w="2016"/>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Runtime owner</w:t>
            </w:r>
          </w:p>
        </w:tc>
      </w:tr>
      <w:tr>
        <w:trPr>
          <w:cantSplit/>
        </w:trPr>
        <w:tc>
          <w:tcPr>
            <w:tcW w:type="dxa" w:w="22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Final decision</w:t>
            </w:r>
          </w:p>
        </w:tc>
        <w:tc>
          <w:tcPr>
            <w:tcW w:type="dxa" w:w="597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Review all technical evidence, agree any scope exclusions and sign the acceptance record. No real external messaging or booking was tested.</w:t>
            </w:r>
          </w:p>
        </w:tc>
        <w:tc>
          <w:tcPr>
            <w:tcW w:type="dxa" w:w="201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Team reviewer</w:t>
            </w:r>
          </w:p>
        </w:tc>
      </w:tr>
    </w:tbl>
    <w:p>
      <w:pPr>
        <w:spacing w:after="0"/>
      </w:pPr>
    </w:p>
    <w:p>
      <w:pPr>
        <w:pStyle w:val="Heading2"/>
      </w:pPr>
      <w:r>
        <w:t>Decision record</w:t>
      </w:r>
    </w:p>
    <w:p>
      <w:r>
        <w:t>The QA owner should share this report, the execution workbook and the evidence archive with the team. Review current results against the pinned commit, record any new defect with a reproducer, and repeat only the affected checks after a fix. A team reviewer must record the final acceptance decision and date; this report does not supply a participant signature.</w:t>
      </w:r>
    </w:p>
    <w:p>
      <w:r>
        <w:t>Repository source https://github.com/zhexusun10/Multi-Agent-Assistance-System/tree/89131897f56bbc176c30246a451f118f7de0209f</w:t>
      </w:r>
    </w:p>
    <w:p>
      <w:r>
        <w:t>Reviewer ____________________   Decision ____________________   Date ____________________</w:t>
      </w:r>
    </w:p>
    <w:sectPr w:rsidR="00FC693F" w:rsidRPr="0006063C" w:rsidSect="00034616">
      <w:headerReference w:type="default" r:id="rId9"/>
      <w:footerReference w:type="default" r:id="rId10"/>
      <w:pgSz w:w="12240" w:h="15840"/>
      <w:pgMar w:top="893" w:right="1008" w:bottom="893"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GROUP 42   MULTI AGENT ASSISTANCE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Latest Repository Testing and Acceptance Report</dc:title>
  <dc:subject>Pinned repository acceptance with eight offline retrieval tests</dc:subject>
  <dc:creator>Group 42</dc:creator>
  <cp:keywords/>
  <dc:description>Extended testing executed against pinned source 8913189; acceptance remains pending.</dc:description>
  <cp:lastModifiedBy/>
  <cp:revision>1</cp:revision>
  <dcterms:created xsi:type="dcterms:W3CDTF">2013-12-23T23:15:00Z</dcterms:created>
  <dcterms:modified xsi:type="dcterms:W3CDTF">2013-12-23T23:15:00Z</dcterms:modified>
  <cp:category/>
  <cp:version>3.6</cp:version>
</cp:coreProperties>
</file>