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Testing and Acceptance Report</w:t>
      </w:r>
    </w:p>
    <w:p>
      <w:pPr>
        <w:pStyle w:val="Subtitle"/>
      </w:pPr>
      <w:r>
        <w:t>Expanded recommendation evaluation and complex workflow results</w:t>
      </w:r>
    </w:p>
    <w:p>
      <w:r>
        <w:rPr>
          <w:b/>
        </w:rPr>
        <w:t>Group 42    Evidence cutoff 24 October 2026    Revision 2</w:t>
      </w:r>
    </w:p>
    <w:p>
      <w:r>
        <w:rPr>
          <w:b w:val="0"/>
        </w:rPr>
        <w:t>Overall system acceptance remains deferred. The expanded structured recommendation evaluation completed with the observed functional checks passing. The retained complex workflow experiment still contains 21 final-operation failures. Relevance results remain provisional pending independent human review. [E01-E03]</w:t>
      </w:r>
    </w:p>
    <w:tbl>
      <w:tblPr>
        <w:tblW w:type="auto" w:w="0"/>
        <w:jc w:val="center"/>
        <w:tblLayout w:type="fixed"/>
        <w:tblLook w:firstColumn="1" w:firstRow="1" w:lastColumn="0" w:lastRow="0" w:noHBand="0" w:noVBand="1" w:val="04A0"/>
      </w:tblPr>
      <w:tblGrid>
        <w:gridCol w:w="1872"/>
        <w:gridCol w:w="5357"/>
        <w:gridCol w:w="2362"/>
      </w:tblGrid>
      <w:tr>
        <w:trPr>
          <w:tblHeader/>
          <w:cantSplit/>
        </w:trPr>
        <w:tc>
          <w:tcPr>
            <w:tcW w:type="dxa" w:w="187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Area</w:t>
            </w:r>
          </w:p>
        </w:tc>
        <w:tc>
          <w:tcPr>
            <w:tcW w:type="dxa" w:w="5357"/>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Latest evidence</w:t>
            </w:r>
          </w:p>
        </w:tc>
        <w:tc>
          <w:tcPr>
            <w:tcW w:type="dxa" w:w="236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Disposition</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Basic recommendation scope</w:t>
            </w:r>
          </w:p>
        </w:tc>
        <w:tc>
          <w:tcPr>
            <w:tcW w:type="dxa" w:w="5357"/>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40 scenarios: 20 retained and 20 new. There are 36 ranking cases and 4 controls. All observed native final statuses match their registered expectations.</w:t>
            </w:r>
          </w:p>
        </w:tc>
        <w:tc>
          <w:tcPr>
            <w:tcW w:type="dxa" w:w="236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Observed checks passed</w:t>
            </w:r>
          </w:p>
        </w:tc>
      </w:tr>
      <w:tr>
        <w:trPr>
          <w:cantSplit/>
        </w:trPr>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Recommendation relevance</w:t>
            </w:r>
          </w:p>
        </w:tc>
        <w:tc>
          <w:tcPr>
            <w:tcW w:type="dxa" w:w="5357"/>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K=5: Precision 90.56%, pool Recall 37.33%, NDCG 0.9830. K=10: 85.00%, 59.32%, 0.9541.</w:t>
            </w:r>
          </w:p>
        </w:tc>
        <w:tc>
          <w:tcPr>
            <w:tcW w:type="dxa" w:w="236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Preliminary judgments</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Repeated selection</w:t>
            </w:r>
          </w:p>
        </w:tc>
        <w:tc>
          <w:tcPr>
            <w:tcW w:type="dxa" w:w="5357"/>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 and S29 each have five real-model runs. Graded quality is stable in these two cases while returned identities vary.</w:t>
            </w:r>
          </w:p>
        </w:tc>
        <w:tc>
          <w:tcPr>
            <w:tcW w:type="dxa" w:w="236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Limited stability evidence</w:t>
            </w:r>
          </w:p>
        </w:tc>
      </w:tr>
      <w:tr>
        <w:trPr>
          <w:cantSplit/>
        </w:trPr>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Complex workflow</w:t>
            </w:r>
          </w:p>
        </w:tc>
        <w:tc>
          <w:tcPr>
            <w:tcW w:type="dxa" w:w="5357"/>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Prior 60-case replay: 39/60 final operations completed, 34/60 every-turn completion, 21 final failures.</w:t>
            </w:r>
          </w:p>
        </w:tc>
        <w:tc>
          <w:tcPr>
            <w:tcW w:type="dxa" w:w="236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Acceptance deferred</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Requirement timeout patch</w:t>
            </w:r>
          </w:p>
        </w:tc>
        <w:tc>
          <w:tcPr>
            <w:tcW w:type="dxa" w:w="5357"/>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Final intake timeout cases decreased from 33 to 6 in the paired complex rerun. The patch remains local.</w:t>
            </w:r>
          </w:p>
        </w:tc>
        <w:tc>
          <w:tcPr>
            <w:tcW w:type="dxa" w:w="236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Partially mitigated</w:t>
            </w:r>
          </w:p>
        </w:tc>
      </w:tr>
    </w:tbl>
    <w:p>
      <w:pPr>
        <w:spacing w:after="0"/>
      </w:pPr>
      <w:r>
        <w:rPr>
          <w:b w:val="0"/>
        </w:rPr>
      </w:r>
    </w:p>
    <w:p>
      <w:pPr>
        <w:pStyle w:val="Heading2"/>
      </w:pPr>
      <w:r>
        <w:t>What this report establishes</w:t>
      </w:r>
    </w:p>
    <w:p>
      <w:r>
        <w:rPr>
          <w:b w:val="0"/>
        </w:rPr>
        <w:t>The report brings together the expanded Precision, Recall and NDCG results, registered repeat trials, source-fact checks and the unresolved complex-workflow defects. A completed test report does not constitute project-team sign-off or a production release. There is no combined pass rate across the 40 basic and 60 complex scenarios.</w:t>
      </w:r>
    </w:p>
    <w:p>
      <w:pPr>
        <w:pStyle w:val="Heading2"/>
      </w:pPr>
      <w:r>
        <w:t>Version and publication</w:t>
      </w:r>
    </w:p>
    <w:p>
      <w:r>
        <w:rPr>
          <w:b w:val="0"/>
        </w:rPr>
        <w:t>The basic recommendation results use unmodified main 4d687e3 and the same real-listing snapshot. The complex suite uses that base plus the registered local timeout patch. The new extension ran only the added scenarios and registered repeats; the retained 20 basic and 60 complex results were reused without new paid calls. This report package and the timeout patch have not been pushed or merged.</w:t>
      </w:r>
    </w:p>
    <w:p>
      <w:r>
        <w:br w:type="page"/>
      </w:r>
    </w:p>
    <w:p>
      <w:pPr>
        <w:pStyle w:val="Heading1"/>
      </w:pPr>
      <w:r>
        <w:t>Evaluation scope and frozen evidence</w:t>
      </w:r>
    </w:p>
    <w:tbl>
      <w:tblPr>
        <w:tblW w:type="auto" w:w="0"/>
        <w:jc w:val="center"/>
        <w:tblLayout w:type="fixed"/>
        <w:tblLook w:firstColumn="1" w:firstRow="1" w:lastColumn="0" w:lastRow="0" w:noHBand="0" w:noVBand="1" w:val="04A0"/>
      </w:tblPr>
      <w:tblGrid>
        <w:gridCol w:w="1872"/>
        <w:gridCol w:w="3816"/>
        <w:gridCol w:w="3902"/>
      </w:tblGrid>
      <w:tr>
        <w:trPr>
          <w:tblHeader/>
          <w:cantSplit/>
        </w:trPr>
        <w:tc>
          <w:tcPr>
            <w:tcW w:type="dxa" w:w="187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Suite</w:t>
            </w:r>
          </w:p>
        </w:tc>
        <w:tc>
          <w:tcPr>
            <w:tcW w:type="dxa" w:w="38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Build and data</w:t>
            </w:r>
          </w:p>
        </w:tc>
        <w:tc>
          <w:tcPr>
            <w:tcW w:type="dxa" w:w="390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Recorded execution</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Retained basic cohort</w:t>
            </w:r>
          </w:p>
        </w:tc>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Main 4d687e3. Original 577 judgments plus 42 authorized additions, unchanged.</w:t>
            </w:r>
          </w:p>
        </w:tc>
        <w:tc>
          <w:tcPr>
            <w:tcW w:type="dxa" w:w="390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20 scenarios, 22 native requests including two setup requests; actual paid-model results retained.</w:t>
            </w:r>
          </w:p>
        </w:tc>
      </w:tr>
      <w:tr>
        <w:trPr>
          <w:cantSplit/>
        </w:trPr>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Added basic cohort</w:t>
            </w:r>
          </w:p>
        </w:tc>
        <w:tc>
          <w:tcPr>
            <w:tcW w:type="dxa" w:w="38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Same unmodified main and 9 October snapshot. Twenty new needs and a source-only rubric frozen before outputs.</w:t>
            </w:r>
          </w:p>
        </w:tc>
        <w:tc>
          <w:tcPr>
            <w:tcW w:type="dxa" w:w="390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20 main scenarios, four setup requests and eight additional repeat runs: 32 new native requests.</w:t>
            </w:r>
          </w:p>
        </w:tc>
      </w:tr>
      <w:tr>
        <w:trPr>
          <w:cantSplit/>
        </w:trPr>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Complex workflow</w:t>
            </w:r>
          </w:p>
        </w:tc>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Same base plus local requirement-timeout patch. Sixty frozen scenarios and 116 authored messages.</w:t>
            </w:r>
          </w:p>
        </w:tc>
        <w:tc>
          <w:tcPr>
            <w:tcW w:type="dxa" w:w="390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Prior HTTP/SSE live replay through intake, recommendation, explanation and knowledge where reached.</w:t>
            </w:r>
          </w:p>
        </w:tc>
      </w:tr>
    </w:tbl>
    <w:p>
      <w:pPr>
        <w:spacing w:after="0"/>
      </w:pPr>
      <w:r>
        <w:rPr>
          <w:b w:val="0"/>
        </w:rPr>
      </w:r>
    </w:p>
    <w:p>
      <w:pPr>
        <w:pStyle w:val="Heading2"/>
      </w:pPr>
      <w:r>
        <w:t>What the data counts mean</w:t>
      </w:r>
    </w:p>
    <w:p>
      <w:r>
        <w:rPr>
          <w:b w:val="0"/>
        </w:rPr>
        <w:t>The database contains 21,431 RENT records from 9 October 2026. Forty basic scenarios represent forty authored user needs. The common reviewed pools contain 1,382 scenario-listing judgments: 619 retained records, 600 new pre-run pairs and 163 identities added from the new saved responses and repeats. There are 1,274 numeric grades and 108 U labels. The 338 main returned positions and 80 additional repeat positions all have numeric grades.</w:t>
      </w:r>
    </w:p>
    <w:p>
      <w:r>
        <w:rPr>
          <w:b w:val="0"/>
        </w:rPr>
        <w:t>For the new needs, the same transparent rubric was also applied to all 21,431 source records before execution, creating 428,620 frozen rule applications. These are twenty reuses of the source corpus, not 428,620 users, independently authored cases or independent human annotations. Thirty source-only review candidates per new scenario were frozen in advance; sparse qualifying inventories were included in full.</w:t>
      </w:r>
    </w:p>
    <w:p>
      <w:pPr>
        <w:pStyle w:val="Heading2"/>
      </w:pPr>
      <w:r>
        <w:t>Grading and independence</w:t>
      </w:r>
    </w:p>
    <w:p>
      <w:r>
        <w:rPr>
          <w:b w:val="0"/>
        </w:rPr>
        <w:t>The new grades use only the authored need and original price, reported bedrooms, advertised area, district and property type. They do not use production scores, output ranks or explanations. Identities returned outside the 600-pair review pools retain their pre-existing corpus grades; only common-pool membership is extended. The original-600 result view is preserved separately.</w:t>
      </w:r>
    </w:p>
    <w:p>
      <w:r>
        <w:rPr>
          <w:b w:val="0"/>
        </w:rPr>
        <w:t>The extension is schema-aware and grounded in available source fields. It is not a new blind set. Original judgments and the new ordinal rubric use different documented construction methods. Both remain provisional, with independent human review pending. The retained candidate pools include historical outputs and can favor the older selection.</w:t>
      </w:r>
    </w:p>
    <w:p>
      <w:pPr>
        <w:pStyle w:val="Heading2"/>
      </w:pPr>
      <w:r>
        <w:t>Execution boundaries</w:t>
      </w:r>
    </w:p>
    <w:p>
      <w:r>
        <w:rPr>
          <w:b w:val="0"/>
        </w:rPr>
        <w:t>The basic suite supplies canonical structured requirements to the unchanged native LiveController, scoring, selection and final gate. Multi-turn cases reference prior native state, but do not test natural-language extraction. Read-only SQLite and frozen real OSM adapters are retained. Explanations, browser UAT, live SQL/graph servers and current rental availability are outside this basic suite. Actual API responses support ten results; the complex application display is capped at five.</w:t>
      </w:r>
    </w:p>
    <w:p>
      <w:r>
        <w:br w:type="page"/>
      </w:r>
    </w:p>
    <w:p>
      <w:pPr>
        <w:pStyle w:val="Heading1"/>
      </w:pPr>
      <w:r>
        <w:t>Combined recommendation metrics</w:t>
      </w:r>
    </w:p>
    <w:p>
      <w:r>
        <w:rPr>
          <w:b w:val="0"/>
        </w:rPr>
        <w:t>Ranking means cover 36 primary scenarios. S19, S20, S34 and S36 are controls. Precision and NDCG use all 36; pool Recall uses 35 because S03 has no grade-2/3 identity. Repeat trials do not increase the primary-scenario count. Every K is a prefix of the same actual ten-result response for that scenario. [E01, E02]</w:t>
      </w:r>
    </w:p>
    <w:tbl>
      <w:tblPr>
        <w:tblW w:type="auto" w:w="0"/>
        <w:jc w:val="center"/>
        <w:tblLayout w:type="fixed"/>
        <w:tblLook w:firstColumn="1" w:firstRow="1" w:lastColumn="0" w:lastRow="0" w:noHBand="0" w:noVBand="1" w:val="04A0"/>
      </w:tblPr>
      <w:tblGrid>
        <w:gridCol w:w="792"/>
        <w:gridCol w:w="2664"/>
        <w:gridCol w:w="2952"/>
        <w:gridCol w:w="2592"/>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K</w:t>
            </w:r>
          </w:p>
        </w:tc>
        <w:tc>
          <w:tcPr>
            <w:tcW w:type="dxa" w:w="266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Precision at K</w:t>
            </w:r>
          </w:p>
        </w:tc>
        <w:tc>
          <w:tcPr>
            <w:tcW w:type="dxa" w:w="29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Pool Recall at K</w:t>
            </w:r>
          </w:p>
        </w:tc>
        <w:tc>
          <w:tcPr>
            <w:tcW w:type="dxa" w:w="25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NDCG at K</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1</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97.22%</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12.80%</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1.0000</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2</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94.44%</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19.88%</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0.9939</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3</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93.52%</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26.97%</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0.9916</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4</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91.67%</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32.15%</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0.9877</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5</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90.56%</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37.33%</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0.9830</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6</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89.35%</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42.27%</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0.9749</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7</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88.10%</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46.74%</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0.9700</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8</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87.15%</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51.20%</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0.9645</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9</w:t>
            </w:r>
          </w:p>
        </w:tc>
        <w:tc>
          <w:tcPr>
            <w:tcW w:type="dxa" w:w="266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86.11%</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55.35%</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0.9589</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10</w:t>
            </w:r>
          </w:p>
        </w:tc>
        <w:tc>
          <w:tcPr>
            <w:tcW w:type="dxa" w:w="266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85.00%</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59.32%</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0.9541</w:t>
            </w:r>
          </w:p>
        </w:tc>
      </w:tr>
    </w:tbl>
    <w:p>
      <w:pPr>
        <w:spacing w:after="0"/>
      </w:pPr>
      <w:r>
        <w:rPr>
          <w:b w:val="0"/>
        </w:rPr>
      </w:r>
    </w:p>
    <w:p>
      <w:pPr>
        <w:pStyle w:val="Heading2"/>
      </w:pPr>
      <w:r>
        <w:t>How a hit and each metric are calculated</w:t>
      </w:r>
    </w:p>
    <w:p>
      <w:r>
        <w:rPr>
          <w:b w:val="0"/>
        </w:rPr>
        <w:t>A binary hit has grade 2 or 3. Precision at K equals relevant hits in the first K positions divided by K. Missing positions receive no hit. Pool Recall divides those hits by all grade-2/3 identities in the scenario's common reviewed pool. A zero Recall denominator is undefined, rather than zero.</w:t>
      </w:r>
    </w:p>
    <w:p>
      <w:r>
        <w:rPr>
          <w:b w:val="0"/>
        </w:rPr>
        <w:t>For NDCG, grade gains are 0, 1, 3 and 7. DCG sums gain / log2(rank + 1). NDCG divides DCG by the ideal DCG obtained by sorting the same pool's numeric grades from highest to lowest. U labels are excluded from the ideal pool. Missing result positions have zero gain; an unjudged returned item would keep exact Precision and NDCG unavailable.</w:t>
      </w:r>
    </w:p>
    <w:p>
      <w:pPr>
        <w:pStyle w:val="Heading2"/>
      </w:pPr>
      <w:r>
        <w:t>How to interpret these results</w:t>
      </w:r>
    </w:p>
    <w:p>
      <w:r>
        <w:rPr>
          <w:b w:val="0"/>
        </w:rPr>
        <w:t>The first five recommendations have higher average binary precision than all ten, while ten results cover more reviewed relevant identities. This comparison does not independently establish the best product display size. No relevance threshold was predeclared as a release gate.</w:t>
      </w:r>
    </w:p>
    <w:p>
      <w:r>
        <w:rPr>
          <w:b w:val="0"/>
        </w:rPr>
        <w:t>NDCG measures relative ordering within the judged pool. S03 can score 1.0000 even with zero binary hits because its weak grade-1 sequence matches its ideal pool. NDCG 1.0000 therefore does not mean complete user satisfaction. Source checks establish consistency with stored advertisements, not the current truth or availability of a home.</w:t>
      </w:r>
    </w:p>
    <w:p>
      <w:r>
        <w:br w:type="page"/>
      </w:r>
    </w:p>
    <w:p>
      <w:pPr>
        <w:pStyle w:val="Heading1"/>
      </w:pPr>
      <w:r>
        <w:t>Cohort results and recall denominators</w:t>
      </w:r>
    </w:p>
    <w:p>
      <w:r>
        <w:rPr>
          <w:b w:val="0"/>
        </w:rPr>
        <w:t>Both cohorts use main 4d687e3 and the same listing snapshot. Their user needs and label-construction methods differ, so this table is a descriptive coverage comparison. A higher aggregate NDCG after expansion is not evidence of a code improvement. [E01, E02]</w:t>
      </w:r>
    </w:p>
    <w:tbl>
      <w:tblPr>
        <w:tblW w:type="auto" w:w="0"/>
        <w:jc w:val="center"/>
        <w:tblLayout w:type="fixed"/>
        <w:tblLook w:firstColumn="1" w:firstRow="1" w:lastColumn="0" w:lastRow="0" w:noHBand="0" w:noVBand="1" w:val="04A0"/>
      </w:tblPr>
      <w:tblGrid>
        <w:gridCol w:w="504"/>
        <w:gridCol w:w="1469"/>
        <w:gridCol w:w="1469"/>
        <w:gridCol w:w="1469"/>
        <w:gridCol w:w="1469"/>
        <w:gridCol w:w="1613"/>
        <w:gridCol w:w="1613"/>
      </w:tblGrid>
      <w:tr>
        <w:trPr>
          <w:tblHeader/>
          <w:cantSplit/>
        </w:trPr>
        <w:tc>
          <w:tcPr>
            <w:tcW w:type="dxa" w:w="50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8"/>
              </w:rPr>
              <w:t>K</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Retained P</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Added P</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Retained R</w:t>
            </w:r>
          </w:p>
        </w:tc>
        <w:tc>
          <w:tcPr>
            <w:tcW w:type="dxa" w:w="1469"/>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Added R</w:t>
            </w:r>
          </w:p>
        </w:tc>
        <w:tc>
          <w:tcPr>
            <w:tcW w:type="dxa" w:w="1613"/>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Retained NDCG</w:t>
            </w:r>
          </w:p>
        </w:tc>
        <w:tc>
          <w:tcPr>
            <w:tcW w:type="dxa" w:w="1613"/>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8"/>
              </w:rPr>
              <w:t>Added NDCG</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1</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8.71%</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16.67%</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2</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17.41%</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22.22%</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0.9877</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3</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94.44%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92.59%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26.12%</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27.77%</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0.9832</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1.0000</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93.06%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90.28%</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32.86%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31.48%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0.9806</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0.9947</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5</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92.22%</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88.89%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39.61%</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35.18%</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0.9790</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0.9870</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90.74%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87.96%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45.86%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38.88%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0.9682</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0.9816</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7</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88.89%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87.30%</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51.14%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42.58%</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0.9625</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0.9775</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8</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87.50%</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86.81%</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56.41%</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46.28%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0.9528</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0.9761</w:t>
            </w:r>
          </w:p>
        </w:tc>
      </w:tr>
      <w:tr>
        <w:trPr>
          <w:cantSplit/>
        </w:trPr>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9</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85.80%</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86.42%</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61.04%</w:t>
            </w:r>
          </w:p>
        </w:tc>
        <w:tc>
          <w:tcPr>
            <w:tcW w:type="dxa" w:w="1469"/>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49.99%</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0.9409</w:t>
            </w:r>
          </w:p>
        </w:tc>
        <w:tc>
          <w:tcPr>
            <w:tcW w:type="dxa" w:w="1613"/>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0.9769</w:t>
            </w:r>
          </w:p>
        </w:tc>
      </w:tr>
      <w:tr>
        <w:trPr>
          <w:cantSplit/>
        </w:trPr>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8"/>
              </w:rPr>
              <w:t>10</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84.44%</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85.56%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65.66%</w:t>
            </w:r>
          </w:p>
        </w:tc>
        <w:tc>
          <w:tcPr>
            <w:tcW w:type="dxa" w:w="1469"/>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53.34%</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0.9317</w:t>
            </w:r>
          </w:p>
        </w:tc>
        <w:tc>
          <w:tcPr>
            <w:tcW w:type="dxa" w:w="1613"/>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8"/>
              </w:rPr>
              <w:t>0.9765</w:t>
            </w:r>
          </w:p>
        </w:tc>
      </w:tr>
    </w:tbl>
    <w:p>
      <w:pPr>
        <w:spacing w:after="0"/>
      </w:pPr>
      <w:r>
        <w:rPr>
          <w:b w:val="0"/>
        </w:rPr>
      </w:r>
    </w:p>
    <w:p>
      <w:pPr>
        <w:pStyle w:val="Heading2"/>
      </w:pPr>
      <w:r>
        <w:t>Reviewed pools and source-wide coverage</w:t>
      </w:r>
    </w:p>
    <w:p>
      <w:r>
        <w:rPr>
          <w:b w:val="0"/>
        </w:rPr>
        <w:t>Headline Recall covers the reviewed candidate identities. The common pool includes returned identities from the registered repeat runs; every repeat uses the same denominator. A separate new-cohort diagnostic uses all known relevant identities under the frozen corpus rubric. It is not interchangeable with pool Recall or a measure of all real-world relevant homes.</w:t>
      </w:r>
    </w:p>
    <w:tbl>
      <w:tblPr>
        <w:tblW w:type="auto" w:w="0"/>
        <w:jc w:val="center"/>
        <w:tblLayout w:type="fixed"/>
        <w:tblLook w:firstColumn="1" w:firstRow="1" w:lastColumn="0" w:lastRow="0" w:noHBand="0" w:noVBand="1" w:val="04A0"/>
      </w:tblPr>
      <w:tblGrid>
        <w:gridCol w:w="3024"/>
        <w:gridCol w:w="2952"/>
        <w:gridCol w:w="3312"/>
      </w:tblGrid>
      <w:tr>
        <w:trPr>
          <w:tblHeader/>
          <w:cantSplit/>
        </w:trPr>
        <w:tc>
          <w:tcPr>
            <w:tcW w:type="dxa" w:w="302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New cohort only</w:t>
            </w:r>
          </w:p>
        </w:tc>
        <w:tc>
          <w:tcPr>
            <w:tcW w:type="dxa" w:w="29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Pool Recall</w:t>
            </w:r>
          </w:p>
        </w:tc>
        <w:tc>
          <w:tcPr>
            <w:tcW w:type="dxa" w:w="331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Frozen source Recall</w:t>
            </w:r>
          </w:p>
        </w:tc>
      </w:tr>
      <w:tr>
        <w:trPr>
          <w:cantSplit/>
        </w:trPr>
        <w:tc>
          <w:tcPr>
            <w:tcW w:type="dxa" w:w="302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K=1</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16.67%</w:t>
            </w:r>
          </w:p>
        </w:tc>
        <w:tc>
          <w:tcPr>
            <w:tcW w:type="dxa" w:w="33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13.73%</w:t>
            </w:r>
          </w:p>
        </w:tc>
      </w:tr>
      <w:tr>
        <w:trPr>
          <w:cantSplit/>
        </w:trPr>
        <w:tc>
          <w:tcPr>
            <w:tcW w:type="dxa" w:w="302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K=5</w:t>
            </w:r>
          </w:p>
        </w:tc>
        <w:tc>
          <w:tcPr>
            <w:tcW w:type="dxa" w:w="29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35.18%</w:t>
            </w:r>
          </w:p>
        </w:tc>
        <w:tc>
          <w:tcPr>
            <w:tcW w:type="dxa" w:w="33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20.50%</w:t>
            </w:r>
          </w:p>
        </w:tc>
      </w:tr>
      <w:tr>
        <w:trPr>
          <w:cantSplit/>
        </w:trPr>
        <w:tc>
          <w:tcPr>
            <w:tcW w:type="dxa" w:w="302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K=10</w:t>
            </w:r>
          </w:p>
        </w:tc>
        <w:tc>
          <w:tcPr>
            <w:tcW w:type="dxa" w:w="29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53.34%</w:t>
            </w:r>
          </w:p>
        </w:tc>
        <w:tc>
          <w:tcPr>
            <w:tcW w:type="dxa" w:w="33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24.13%</w:t>
            </w:r>
          </w:p>
        </w:tc>
      </w:tr>
    </w:tbl>
    <w:p>
      <w:pPr>
        <w:spacing w:after="0"/>
      </w:pPr>
      <w:r>
        <w:rPr>
          <w:b w:val="0"/>
        </w:rPr>
      </w:r>
    </w:p>
    <w:p>
      <w:r>
        <w:rPr>
          <w:b w:val="0"/>
        </w:rPr>
        <w:t>The difference reflects the denominator: some new needs have hundreds of source records meeting their main preferences. The 428,620 rule applications make the new-only source denominator reproducible, while unknown facts remain excluded from known relevance. Original-600 uncertainty views, all numerators and denominators remain in the metric JSON.</w:t>
      </w:r>
    </w:p>
    <w:p>
      <w:pPr>
        <w:pStyle w:val="Heading2"/>
      </w:pPr>
      <w:r>
        <w:t>Judgment sensitivity remains open</w:t>
      </w:r>
    </w:p>
    <w:p>
      <w:r>
        <w:rPr>
          <w:b w:val="0"/>
        </w:rPr>
        <w:t>The retained S13 judgment for listing 500229237 remains a human-review priority: its NUS distance is about 5.41 km, beyond the cited grade-2 anchors. Reclassifying it from grade 2 to 1 would lower retained Precision at 10 from 84.44% to 83.89%, and combined Precision from 85.00% to 84.72%. No frozen label was changed for this report.</w:t>
      </w:r>
    </w:p>
    <w:p>
      <w:r>
        <w:br w:type="page"/>
      </w:r>
    </w:p>
    <w:p>
      <w:pPr>
        <w:pStyle w:val="Heading1"/>
      </w:pPr>
      <w:r>
        <w:t>Repeated cold start and sparse inventory</w:t>
      </w:r>
    </w:p>
    <w:p>
      <w:r>
        <w:rPr>
          <w:b w:val="0"/>
        </w:rPr>
        <w:t>S27 and S29 each have five actual native runs, including the main run and four registered fresh-session repeats. Request IDs were fixed before execution; native select-v1 derived and recorded the random seeds. All ten runs used cold-start exploration. These are repeated selection observations, not a cold-start on/off causal experiment. [E02]</w:t>
      </w:r>
    </w:p>
    <w:tbl>
      <w:tblPr>
        <w:tblW w:type="auto" w:w="0"/>
        <w:jc w:val="center"/>
        <w:tblLayout w:type="fixed"/>
        <w:tblLook w:firstColumn="1" w:firstRow="1" w:lastColumn="0" w:lastRow="0" w:noHBand="0" w:noVBand="1" w:val="04A0"/>
      </w:tblPr>
      <w:tblGrid>
        <w:gridCol w:w="936"/>
        <w:gridCol w:w="504"/>
        <w:gridCol w:w="1152"/>
        <w:gridCol w:w="1584"/>
        <w:gridCol w:w="1512"/>
        <w:gridCol w:w="1584"/>
        <w:gridCol w:w="1728"/>
      </w:tblGrid>
      <w:tr>
        <w:trPr>
          <w:tblHeader/>
          <w:cantSplit/>
        </w:trPr>
        <w:tc>
          <w:tcPr>
            <w:tcW w:type="dxa" w:w="93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50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K</w:t>
            </w:r>
          </w:p>
        </w:tc>
        <w:tc>
          <w:tcPr>
            <w:tcW w:type="dxa" w:w="11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P</w:t>
            </w:r>
          </w:p>
        </w:tc>
        <w:tc>
          <w:tcPr>
            <w:tcW w:type="dxa" w:w="158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pool R</w:t>
            </w:r>
          </w:p>
        </w:tc>
        <w:tc>
          <w:tcPr>
            <w:tcW w:type="dxa" w:w="151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NDCG</w:t>
            </w:r>
          </w:p>
        </w:tc>
        <w:tc>
          <w:tcPr>
            <w:tcW w:type="dxa" w:w="158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Unique IDs</w:t>
            </w:r>
          </w:p>
        </w:tc>
        <w:tc>
          <w:tcPr>
            <w:tcW w:type="dxa" w:w="172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Mean Jaccard</w:t>
            </w:r>
          </w:p>
        </w:tc>
      </w:tr>
      <w:tr>
        <w:trPr>
          <w:cantSplit/>
        </w:trPr>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w:t>
            </w:r>
          </w:p>
        </w:tc>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5</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10.87%</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16</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0.1456</w:t>
            </w:r>
          </w:p>
        </w:tc>
      </w:tr>
      <w:tr>
        <w:trPr>
          <w:cantSplit/>
        </w:trPr>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w:t>
            </w:r>
          </w:p>
        </w:tc>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21.74%</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35</w:t>
            </w:r>
          </w:p>
        </w:tc>
        <w:tc>
          <w:tcPr>
            <w:tcW w:type="dxa" w:w="17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0.1198</w:t>
            </w:r>
          </w:p>
        </w:tc>
      </w:tr>
      <w:tr>
        <w:trPr>
          <w:cantSplit/>
        </w:trPr>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S29</w:t>
            </w:r>
          </w:p>
        </w:tc>
        <w:tc>
          <w:tcPr>
            <w:tcW w:type="dxa" w:w="50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5</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17.24%</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0.5333</w:t>
            </w:r>
          </w:p>
        </w:tc>
      </w:tr>
      <w:tr>
        <w:trPr>
          <w:cantSplit/>
        </w:trPr>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S29</w:t>
            </w:r>
          </w:p>
        </w:tc>
        <w:tc>
          <w:tcPr>
            <w:tcW w:type="dxa" w:w="50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34.48%</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8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26</w:t>
            </w:r>
          </w:p>
        </w:tc>
        <w:tc>
          <w:tcPr>
            <w:tcW w:type="dxa" w:w="17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0.2855</w:t>
            </w:r>
          </w:p>
        </w:tc>
      </w:tr>
    </w:tbl>
    <w:p>
      <w:pPr>
        <w:spacing w:after="0"/>
      </w:pPr>
      <w:r>
        <w:rPr>
          <w:b w:val="0"/>
        </w:rPr>
      </w:r>
    </w:p>
    <w:p>
      <w:r>
        <w:rPr>
          <w:b w:val="0"/>
        </w:rPr>
        <w:t>Within these two cases, the minimum and maximum of each quality metric equal its mean across all five trials. At K=10, S27 showed 35 distinct identities and S29 showed 26; lower Jaccard overlap indicates changing identities. Stable graded quality in these two needs does not establish stability for all budgets or preference profiles.</w:t>
      </w:r>
    </w:p>
    <w:p>
      <w:pPr>
        <w:pStyle w:val="Heading2"/>
      </w:pPr>
      <w:r>
        <w:t>Cases that explain lower precision or ordering quality</w:t>
      </w:r>
    </w:p>
    <w:tbl>
      <w:tblPr>
        <w:tblW w:type="auto" w:w="0"/>
        <w:jc w:val="center"/>
        <w:tblLayout w:type="fixed"/>
        <w:tblLook w:firstColumn="1" w:firstRow="1" w:lastColumn="0" w:lastRow="0" w:noHBand="0" w:noVBand="1" w:val="04A0"/>
      </w:tblPr>
      <w:tblGrid>
        <w:gridCol w:w="792"/>
        <w:gridCol w:w="936"/>
        <w:gridCol w:w="1152"/>
        <w:gridCol w:w="1512"/>
        <w:gridCol w:w="4608"/>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93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Count</w:t>
            </w:r>
          </w:p>
        </w:tc>
        <w:tc>
          <w:tcPr>
            <w:tcW w:type="dxa" w:w="115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P at 10</w:t>
            </w:r>
          </w:p>
        </w:tc>
        <w:tc>
          <w:tcPr>
            <w:tcW w:type="dxa" w:w="151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NDCG at 10</w:t>
            </w:r>
          </w:p>
        </w:tc>
        <w:tc>
          <w:tcPr>
            <w:tcW w:type="dxa" w:w="460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Observed interpretation</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S21</w:t>
            </w:r>
          </w:p>
        </w:tc>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90.00%</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0.7913</w:t>
            </w:r>
          </w:p>
        </w:tc>
        <w:tc>
          <w:tcPr>
            <w:tcW w:type="dxa" w:w="46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One principal-preference miss; fewer top-grade homes in the selected order.</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S24</w:t>
            </w:r>
          </w:p>
        </w:tc>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0.7861</w:t>
            </w:r>
          </w:p>
        </w:tc>
        <w:tc>
          <w:tcPr>
            <w:tcW w:type="dxa" w:w="46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All ten are binary hits, but several secondary-preference matches rank below the pool ideal.</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S26</w:t>
            </w:r>
          </w:p>
        </w:tc>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30.00%</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46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Only three source listings meet the main saving preference; all ten pass the hard limits.</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S33</w:t>
            </w:r>
          </w:p>
        </w:tc>
        <w:tc>
          <w:tcPr>
            <w:tcW w:type="dxa" w:w="93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w:t>
            </w:r>
          </w:p>
        </w:tc>
        <w:tc>
          <w:tcPr>
            <w:tcW w:type="dxa" w:w="115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w:t>
            </w:r>
          </w:p>
        </w:tc>
        <w:tc>
          <w:tcPr>
            <w:tcW w:type="dxa" w:w="151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46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Only three mandatory matches exist, and one meets the principal saving preference.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S35</w:t>
            </w:r>
          </w:p>
        </w:tc>
        <w:tc>
          <w:tcPr>
            <w:tcW w:type="dxa" w:w="93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w:t>
            </w:r>
          </w:p>
        </w:tc>
        <w:tc>
          <w:tcPr>
            <w:tcW w:type="dxa" w:w="115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w:t>
            </w:r>
          </w:p>
        </w:tc>
        <w:tc>
          <w:tcPr>
            <w:tcW w:type="dxa" w:w="151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1.0000</w:t>
            </w:r>
          </w:p>
        </w:tc>
        <w:tc>
          <w:tcPr>
            <w:tcW w:type="dxa" w:w="46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Only two mandatory matches exist, and one meets the principal saving preference.</w:t>
            </w:r>
          </w:p>
        </w:tc>
      </w:tr>
    </w:tbl>
    <w:p>
      <w:pPr>
        <w:spacing w:after="0"/>
      </w:pPr>
      <w:r>
        <w:rPr>
          <w:b w:val="0"/>
        </w:rPr>
      </w:r>
    </w:p>
    <w:p>
      <w:r>
        <w:rPr>
          <w:b w:val="0"/>
        </w:rPr>
        <w:t>S33 returns three homes and S35 returns two, exactly matching their known qualifying inventories. The lists contain no nonqualifying padding. At K=10, the combined 36 primary lists contain 22 empty slots. Fixed-K Precision is 85.00%; mean Precision over filled positions is 88.70%. The measures answer different questions. Complete user acceptance also requires requirement preservation and explanation delivery.</w:t>
      </w:r>
    </w:p>
    <w:p>
      <w:r>
        <w:br w:type="page"/>
      </w:r>
    </w:p>
    <w:p>
      <w:pPr>
        <w:pStyle w:val="Heading1"/>
      </w:pPr>
      <w:r>
        <w:t>New boundary and preference scenarios</w:t>
      </w:r>
    </w:p>
    <w:p>
      <w:r>
        <w:rPr>
          <w:b w:val="0"/>
        </w:rPr>
        <w:t>The following twelve cases extend basic coverage using available source facts. Rent figures are SGD per month. Complete prompts, canonical conditions, frozen rubric clauses and 30 pre-run candidates per case are in the English workbook and input files. All twelve returned ten results and passed the native final gate. [E02]</w:t>
      </w:r>
    </w:p>
    <w:tbl>
      <w:tblPr>
        <w:tblW w:type="auto" w:w="0"/>
        <w:jc w:val="center"/>
        <w:tblLayout w:type="fixed"/>
        <w:tblLook w:firstColumn="1" w:firstRow="1" w:lastColumn="0" w:lastRow="0" w:noHBand="0" w:noVBand="1" w:val="04A0"/>
      </w:tblPr>
      <w:tblGrid>
        <w:gridCol w:w="792"/>
        <w:gridCol w:w="7344"/>
        <w:gridCol w:w="1440"/>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734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User need and preference order</w:t>
            </w:r>
          </w:p>
        </w:tc>
        <w:tc>
          <w:tcPr>
            <w:tcW w:type="dxa" w:w="1440"/>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Type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S21</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Rent &lt;= $1,500; &gt;=1 reported bed; &gt;=200 sqft. Prefer &lt;=$1,200, then &gt;=350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S22</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Rent &lt;= $4,000; &gt;=2 beds; area &gt;=700 sqft inclusive. Prefer &gt;=900 sqft, then &lt;=$3,500.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S23</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Exactly 2 beds in D18/D19; &lt;=$4,500. Prefer &gt;=800 sqft, then &lt;=$3,500.</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S24</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Rent $2,500-$3,500 inclusive; &gt;=2 beds in D23/D25. Prefer &gt;=900 sqft, then &lt;=$3,000.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S25</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HDB flat; &gt;=3 beds; &lt;=$4,000. Prefer D18/D19, then &gt;=1,000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S26</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D05; &gt;=2 beds; &lt;=$3,500. Prefer &lt;=$3,000, then &gt;=750 sqft.</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Boundary</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S27</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&lt;= $4,500; &gt;=2 beds. Prefer D03/D05 first, then &gt;=900 sqft; other districts allowed.</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S28</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&lt;= $4,500; &gt;=2 beds. Prefer &gt;=1,000 sqft first, then D03/D05.</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S29</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D18/D19/D20/D23; &gt;=2 beds; &lt;=$4,200. Prefer &lt;=$2,800, then &gt;=900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S30</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&lt;= $4,800; &gt;=3 beds. Prefer &gt;=1,100 sqft first, then &lt;=$3,600.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S31</w:t>
            </w:r>
          </w:p>
        </w:tc>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D18/D19/D23/D25; &gt;=2 beds; &lt;=$4,500. Prefer HDB first, then &gt;=900 sqft.</w:t>
            </w:r>
          </w:p>
        </w:tc>
        <w:tc>
          <w:tcPr>
            <w:tcW w:type="dxa" w:w="144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S32</w:t>
            </w:r>
          </w:p>
        </w:tc>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D09/D10/D11; &gt;=2 beds; &lt;=$6,500. Prefer D10 first, then &lt;=$5,500.</w:t>
            </w:r>
          </w:p>
        </w:tc>
        <w:tc>
          <w:tcPr>
            <w:tcW w:type="dxa" w:w="144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Preference</w:t>
            </w:r>
          </w:p>
        </w:tc>
      </w:tr>
    </w:tbl>
    <w:p>
      <w:pPr>
        <w:spacing w:after="0"/>
      </w:pPr>
      <w:r>
        <w:rPr>
          <w:b w:val="0"/>
        </w:rPr>
      </w:r>
    </w:p>
    <w:p>
      <w:pPr>
        <w:pStyle w:val="Heading2"/>
      </w:pPr>
      <w:r>
        <w:t>Source verification</w:t>
      </w:r>
    </w:p>
    <w:p>
      <w:r>
        <w:rPr>
          <w:b w:val="0"/>
        </w:rPr>
        <w:t>Across the 245 new final and repeat positions, independent checks passed all 677 mandatory-condition comparisons and 1,470 returned-source-field comparisons. Those counts include repeat positions. They do not verify facts beyond the stored price, reported bedrooms, advertised area, district, property type and URL. The retained source verification covers 173 positions and 439 hard comparisons separately.</w:t>
      </w:r>
    </w:p>
    <w:p>
      <w:r>
        <w:br w:type="page"/>
      </w:r>
    </w:p>
    <w:p>
      <w:pPr>
        <w:pStyle w:val="Heading1"/>
      </w:pPr>
      <w:r>
        <w:t>New sparse and changing need scenarios</w:t>
      </w:r>
    </w:p>
    <w:tbl>
      <w:tblPr>
        <w:tblW w:type="auto" w:w="0"/>
        <w:jc w:val="center"/>
        <w:tblLayout w:type="fixed"/>
        <w:tblLook w:firstColumn="1" w:firstRow="1" w:lastColumn="0" w:lastRow="0" w:noHBand="0" w:noVBand="1" w:val="04A0"/>
      </w:tblPr>
      <w:tblGrid>
        <w:gridCol w:w="792"/>
        <w:gridCol w:w="6408"/>
        <w:gridCol w:w="2376"/>
      </w:tblGrid>
      <w:tr>
        <w:trPr>
          <w:tblHeader/>
          <w:cantSplit/>
        </w:trPr>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Case</w:t>
            </w:r>
          </w:p>
        </w:tc>
        <w:tc>
          <w:tcPr>
            <w:tcW w:type="dxa" w:w="640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User need or follow-up</w:t>
            </w:r>
          </w:p>
        </w:tc>
        <w:tc>
          <w:tcPr>
            <w:tcW w:type="dxa" w:w="237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Observed final result</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S33</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D05; &gt;=3 beds; &lt;=$3,800. Prefer &lt;=$3,600, then &gt;=900 sqft. Three known hard matches.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3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S34</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D09; &gt;=2 beds; &lt;=$2,200. No known qualifying source record.</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No match; 0 returned</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S35</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D20; exactly 4 beds; &gt;=1,200 sqft; &lt;=$4,500. Two known hard matches.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2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S36</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D10; &gt;=3 beds; &lt;=$2,500. No known qualifying source record.</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No match; 0 returned</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S37</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Reduce budget from $4,500 to $3,500; retain &gt;=2 beds, D18/D19 and both preferences.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S38</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Expand D05 to D03/D05; retain &gt;=2 beds, &lt;=$4,000 and both preferences.</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r>
        <w:trPr>
          <w:cantSplit/>
        </w:trPr>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S39</w:t>
            </w:r>
          </w:p>
        </w:tc>
        <w:tc>
          <w:tcPr>
            <w:tcW w:type="dxa" w:w="640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Relax area minimum from 1,000 to 700 sqft; retain &gt;=2 beds, D23/D25, &lt;=$4,200 and preferences.</w:t>
            </w:r>
          </w:p>
        </w:tc>
        <w:tc>
          <w:tcPr>
            <w:tcW w:type="dxa" w:w="237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r>
        <w:trPr>
          <w:cantSplit/>
        </w:trPr>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S40</w:t>
            </w:r>
          </w:p>
        </w:tc>
        <w:tc>
          <w:tcPr>
            <w:tcW w:type="dxa" w:w="640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Make D15 mandatory; retain &gt;=2 beds and &lt;=$5,000. Prioritize &gt;=900 sqft, then &lt;=$4,500.</w:t>
            </w:r>
          </w:p>
        </w:tc>
        <w:tc>
          <w:tcPr>
            <w:tcW w:type="dxa" w:w="237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Success; 10 returned</w:t>
            </w:r>
          </w:p>
        </w:tc>
      </w:tr>
    </w:tbl>
    <w:p>
      <w:pPr>
        <w:spacing w:after="0"/>
      </w:pPr>
      <w:r>
        <w:rPr>
          <w:b w:val="0"/>
        </w:rPr>
      </w:r>
    </w:p>
    <w:p>
      <w:pPr>
        <w:pStyle w:val="Heading2"/>
      </w:pPr>
      <w:r>
        <w:t>No match controls and short lists</w:t>
      </w:r>
    </w:p>
    <w:p>
      <w:r>
        <w:rPr>
          <w:b w:val="0"/>
        </w:rPr>
        <w:t>S34 and S36 correctly returned no_match with no recommendation. S33 and S35 returned all three and two known mandatory matches respectively. Missing bedroom or area facts remain unknown; they are not proof that an otherwise unverified advertisement meets a mandatory need.</w:t>
      </w:r>
    </w:p>
    <w:p>
      <w:pPr>
        <w:pStyle w:val="Heading2"/>
      </w:pPr>
      <w:r>
        <w:t>What the state update checks cover</w:t>
      </w:r>
    </w:p>
    <w:p>
      <w:r>
        <w:rPr>
          <w:b w:val="0"/>
        </w:rPr>
        <w:t>S37 through S40 each executed an initial native request, then a final canonical requirements update referencing its saved prior state. The saved requests confirm the authored final conditions, the prior-state reference and requirements version 2. These checks passed. Natural-language parsing of the follow-up, dialogue wording and explanation delivery remain outside these native tests.</w:t>
      </w:r>
    </w:p>
    <w:p>
      <w:pPr>
        <w:pStyle w:val="Heading2"/>
      </w:pPr>
      <w:r>
        <w:t>The new ordinal rubric</w:t>
      </w:r>
    </w:p>
    <w:p>
      <w:r>
        <w:rPr>
          <w:b w:val="0"/>
        </w:rPr>
        <w:t>Grade 0 means a known mandatory condition fails. U means missing evidence prevents assigning one exact grade. Grade 1 means mandatory conditions pass but a principal preference is not met. Grade 2 means mandatory and principal preferences pass but a secondary preference is not met. Grade 3 means all mandatory, principal and secondary targets pass. A principal preference outweighs secondary bonuses in this rubric, independently of native weighted scores.</w:t>
      </w:r>
    </w:p>
    <w:p>
      <w:r>
        <w:rPr>
          <w:b w:val="0"/>
        </w:rPr>
        <w:t>The new cases use reported source fields to stay within the available dataset. Advertised floor area and bedroom count may describe the dwelling even when an advertisement is for a room. This evaluation does not establish whole-unit occupancy, current availability, furnishing, lease terms or an actual user's satisfaction. Human review fields are available in the workbook, with the frozen grade retained separately.</w:t>
      </w:r>
    </w:p>
    <w:p>
      <w:r>
        <w:br w:type="page"/>
      </w:r>
    </w:p>
    <w:p>
      <w:pPr>
        <w:pStyle w:val="Heading1"/>
      </w:pPr>
      <w:r>
        <w:t>Retained difficult and complex workflow results</w:t>
      </w:r>
    </w:p>
    <w:p>
      <w:r>
        <w:rPr>
          <w:b w:val="0"/>
        </w:rPr>
        <w:t>The retained complex experiment contains 60 cases and 116 exact authored messages. Its baseline and local-repair runs share main 4d687e3 and the source snapshot; the repair run adds the registered timeout patch. No new complex-suite model calls were made for this extension. The following measures count operational completion. [E03]</w:t>
      </w:r>
    </w:p>
    <w:tbl>
      <w:tblPr>
        <w:tblW w:type="auto" w:w="0"/>
        <w:jc w:val="center"/>
        <w:tblLayout w:type="fixed"/>
        <w:tblLook w:firstColumn="1" w:firstRow="1" w:lastColumn="0" w:lastRow="0" w:noHBand="0" w:noVBand="1" w:val="04A0"/>
      </w:tblPr>
      <w:tblGrid>
        <w:gridCol w:w="3816"/>
        <w:gridCol w:w="2016"/>
        <w:gridCol w:w="2016"/>
        <w:gridCol w:w="1656"/>
      </w:tblGrid>
      <w:tr>
        <w:trPr>
          <w:tblHeader/>
          <w:cantSplit/>
        </w:trPr>
        <w:tc>
          <w:tcPr>
            <w:tcW w:type="dxa" w:w="38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Operational measure</w:t>
            </w:r>
          </w:p>
        </w:tc>
        <w:tc>
          <w:tcPr>
            <w:tcW w:type="dxa" w:w="20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Baseline</w:t>
            </w:r>
          </w:p>
        </w:tc>
        <w:tc>
          <w:tcPr>
            <w:tcW w:type="dxa" w:w="201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Local repair</w:t>
            </w:r>
          </w:p>
        </w:tc>
        <w:tc>
          <w:tcPr>
            <w:tcW w:type="dxa" w:w="165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Change</w:t>
            </w:r>
          </w:p>
        </w:tc>
      </w:tr>
      <w:tr>
        <w:trPr>
          <w:cantSplit/>
        </w:trPr>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Final authored operation completed</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22/60  36.67%</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39/60  65.00%</w:t>
            </w:r>
          </w:p>
        </w:tc>
        <w:tc>
          <w:tcPr>
            <w:tcW w:type="dxa" w:w="16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+28.33 pp</w:t>
            </w:r>
          </w:p>
        </w:tc>
      </w:tr>
      <w:tr>
        <w:trPr>
          <w:cantSplit/>
        </w:trPr>
        <w:tc>
          <w:tcPr>
            <w:tcW w:type="dxa" w:w="38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Every authored operation completed</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18/60  30.00%</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34/60  56.67%</w:t>
            </w:r>
          </w:p>
        </w:tc>
        <w:tc>
          <w:tcPr>
            <w:tcW w:type="dxa" w:w="16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+26.67 pp</w:t>
            </w:r>
          </w:p>
        </w:tc>
      </w:tr>
      <w:tr>
        <w:trPr>
          <w:cantSplit/>
        </w:trPr>
        <w:tc>
          <w:tcPr>
            <w:tcW w:type="dxa" w:w="38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Completed individual turns</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57/116  49.14%</w:t>
            </w:r>
          </w:p>
        </w:tc>
        <w:tc>
          <w:tcPr>
            <w:tcW w:type="dxa" w:w="201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83/116  71.55%</w:t>
            </w:r>
          </w:p>
        </w:tc>
        <w:tc>
          <w:tcPr>
            <w:tcW w:type="dxa" w:w="16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+22.41 pp</w:t>
            </w:r>
          </w:p>
        </w:tc>
      </w:tr>
      <w:tr>
        <w:trPr>
          <w:cantSplit/>
        </w:trPr>
        <w:tc>
          <w:tcPr>
            <w:tcW w:type="dxa" w:w="38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Cases ending in intake timeout</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33</w:t>
            </w:r>
          </w:p>
        </w:tc>
        <w:tc>
          <w:tcPr>
            <w:tcW w:type="dxa" w:w="201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6</w:t>
            </w:r>
          </w:p>
        </w:tc>
        <w:tc>
          <w:tcPr>
            <w:tcW w:type="dxa" w:w="16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27 fewer</w:t>
            </w:r>
          </w:p>
        </w:tc>
      </w:tr>
    </w:tbl>
    <w:p>
      <w:pPr>
        <w:spacing w:after="0"/>
      </w:pPr>
      <w:r>
        <w:rPr>
          <w:b w:val="0"/>
        </w:rPr>
      </w:r>
    </w:p>
    <w:p>
      <w:pPr>
        <w:pStyle w:val="Heading2"/>
      </w:pPr>
      <w:r>
        <w:t>What the completed outcomes contain</w:t>
      </w:r>
    </w:p>
    <w:tbl>
      <w:tblPr>
        <w:tblW w:type="auto" w:w="0"/>
        <w:jc w:val="center"/>
        <w:tblLayout w:type="fixed"/>
        <w:tblLook w:firstColumn="1" w:firstRow="1" w:lastColumn="0" w:lastRow="0" w:noHBand="0" w:noVBand="1" w:val="04A0"/>
      </w:tblPr>
      <w:tblGrid>
        <w:gridCol w:w="7344"/>
        <w:gridCol w:w="1728"/>
      </w:tblGrid>
      <w:tr>
        <w:trPr>
          <w:tblHeader/>
          <w:cantSplit/>
        </w:trPr>
        <w:tc>
          <w:tcPr>
            <w:tcW w:type="dxa" w:w="734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20"/>
              </w:rPr>
              <w:t>Final completed outcome</w:t>
            </w:r>
          </w:p>
        </w:tc>
        <w:tc>
          <w:tcPr>
            <w:tcW w:type="dxa" w:w="172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20"/>
              </w:rPr>
              <w:t>Cases</w:t>
            </w:r>
          </w:p>
        </w:tc>
      </w:tr>
      <w:tr>
        <w:trPr>
          <w:cantSplit/>
        </w:trPr>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Recommendation clarification or unsupported criterion</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25</w:t>
            </w:r>
          </w:p>
        </w:tc>
      </w:tr>
      <w:tr>
        <w:trPr>
          <w:cantSplit/>
        </w:trPr>
        <w:tc>
          <w:tcPr>
            <w:tcW w:type="dxa" w:w="73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Requirement-intake clarification</w:t>
            </w:r>
          </w:p>
        </w:tc>
        <w:tc>
          <w:tcPr>
            <w:tcW w:type="dxa" w:w="17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10</w:t>
            </w:r>
          </w:p>
        </w:tc>
      </w:tr>
      <w:tr>
        <w:trPr>
          <w:cantSplit/>
        </w:trPr>
        <w:tc>
          <w:tcPr>
            <w:tcW w:type="dxa" w:w="73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20"/>
              </w:rPr>
              <w:t>Other completed outcomes without a fresh property list</w:t>
            </w:r>
          </w:p>
        </w:tc>
        <w:tc>
          <w:tcPr>
            <w:tcW w:type="dxa" w:w="17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20"/>
              </w:rPr>
              <w:t>4</w:t>
            </w:r>
          </w:p>
        </w:tc>
      </w:tr>
    </w:tbl>
    <w:p>
      <w:pPr>
        <w:spacing w:after="0"/>
      </w:pPr>
      <w:r>
        <w:rPr>
          <w:b w:val="0"/>
        </w:rPr>
      </w:r>
    </w:p>
    <w:p>
      <w:r>
        <w:rPr>
          <w:b w:val="0"/>
        </w:rPr>
        <w:t>Thirty-five completed final operations stopped at clarification or unsupported criteria. Some clarifications appropriately expose missing evidence, but their semantic quality has not been independently adjudicated. The other four used knowledge or generic intent clarification without a fresh list.</w:t>
      </w:r>
    </w:p>
    <w:p>
      <w:r>
        <w:rPr>
          <w:b w:val="0"/>
        </w:rPr>
        <w:t>Six final cases displayed fresh nonempty lists, totaling 30 case-advertisement pairs. All six failed at the explanation stage. No final case both displayed a fresh nonempty list and completed its explanation. This observation does not assign zero semantic correctness to every mixed search, knowledge or clarification case.</w:t>
      </w:r>
    </w:p>
    <w:p>
      <w:pPr>
        <w:pStyle w:val="Heading2"/>
      </w:pPr>
      <w:r>
        <w:t>Paired recovery and latency</w:t>
      </w:r>
    </w:p>
    <w:p>
      <w:r>
        <w:rPr>
          <w:b w:val="0"/>
        </w:rPr>
        <w:t>Twenty cases changed from failed to completed, nineteen remained completed, three regressed and eighteen remained failed. The net gain was seventeen cases. Regressed IDs were BT013, BT038 and BT044. These transitions do not establish twenty newly successful rental journeys.</w:t>
      </w:r>
    </w:p>
    <w:p>
      <w:r>
        <w:rPr>
          <w:b w:val="0"/>
        </w:rPr>
        <w:t>Median turn duration increased from 38.79 to 63.89 seconds; p95 increased from 82.80 to 182.47 seconds. Serial duration increased from 84.02 to 150.78 minutes. The larger deadline allows more completions at a latency cost. No latency service target was agreed as an acceptance gate.</w:t>
      </w:r>
    </w:p>
    <w:p>
      <w:r>
        <w:br w:type="page"/>
      </w:r>
    </w:p>
    <w:p>
      <w:pPr>
        <w:pStyle w:val="Heading1"/>
      </w:pPr>
      <w:r>
        <w:t>Timeout repair and unresolved defects</w:t>
      </w:r>
    </w:p>
    <w:p>
      <w:pPr>
        <w:pStyle w:val="Heading2"/>
      </w:pPr>
      <w:r>
        <w:t>Requirement timeout status</w:t>
      </w:r>
    </w:p>
    <w:p>
      <w:r>
        <w:rPr>
          <w:b w:val="0"/>
        </w:rPr>
        <w:t>PARTIALLY MITIGATED AND VERIFIED LOCALLY. Final intake-timeout cases decreased from 33 to 6. The per-call budget increased from 30 to 60 seconds and the shared intake budget from 90 to 180 seconds. One transient retry is shared across generation, audit and correction. Audit retry reuses its draft; mandatory schema, quote, place and semantic checks remain. Authentication, credit and fatal invalid-request failures are not retried.</w:t>
      </w:r>
    </w:p>
    <w:p>
      <w:r>
        <w:rPr>
          <w:b w:val="0"/>
        </w:rPr>
        <w:t>The full live rerun supersedes the earlier offline report's pending-live note. Offline evidence includes 14 focused regression tests within 342 passed, 22 skipped and zero failed TypeScript tests, both type checks and a 71-file native-manifest check. Fifteen live operations recovered a transient retry; nine completed and six later failed. The patch remains unpushed and unmerged.</w:t>
      </w:r>
    </w:p>
    <w:tbl>
      <w:tblPr>
        <w:tblW w:type="auto" w:w="0"/>
        <w:jc w:val="center"/>
        <w:tblLayout w:type="fixed"/>
        <w:tblLook w:firstColumn="1" w:firstRow="1" w:lastColumn="0" w:lastRow="0" w:noHBand="0" w:noVBand="1" w:val="04A0"/>
      </w:tblPr>
      <w:tblGrid>
        <w:gridCol w:w="3528"/>
        <w:gridCol w:w="792"/>
        <w:gridCol w:w="5256"/>
      </w:tblGrid>
      <w:tr>
        <w:trPr>
          <w:tblHeader/>
          <w:cantSplit/>
        </w:trPr>
        <w:tc>
          <w:tcPr>
            <w:tcW w:type="dxa" w:w="3528"/>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Final failure category</w:t>
            </w:r>
          </w:p>
        </w:tc>
        <w:tc>
          <w:tcPr>
            <w:tcW w:type="dxa" w:w="7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Count</w:t>
            </w:r>
          </w:p>
        </w:tc>
        <w:tc>
          <w:tcPr>
            <w:tcW w:type="dxa" w:w="525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Case IDs</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Intake timeout</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6</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BT005 BT016 BT029 BT037 BT054 BT057</w:t>
            </w:r>
          </w:p>
        </w:tc>
      </w:tr>
      <w:tr>
        <w:trPr>
          <w:cantSplit/>
        </w:trPr>
        <w:tc>
          <w:tcPr>
            <w:tcW w:type="dxa" w:w="35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Intake semantic audit</w:t>
            </w:r>
          </w:p>
        </w:tc>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w:t>
            </w:r>
          </w:p>
        </w:tc>
        <w:tc>
          <w:tcPr>
            <w:tcW w:type="dxa" w:w="52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BT001 BT022 BT042</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Intake schema or extraction validation</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3</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BT013 BT025 BT044</w:t>
            </w:r>
          </w:p>
        </w:tc>
      </w:tr>
      <w:tr>
        <w:trPr>
          <w:cantSplit/>
        </w:trPr>
        <w:tc>
          <w:tcPr>
            <w:tcW w:type="dxa" w:w="35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Native HTTP 422 contract failure</w:t>
            </w:r>
          </w:p>
        </w:tc>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w:t>
            </w:r>
          </w:p>
        </w:tc>
        <w:tc>
          <w:tcPr>
            <w:tcW w:type="dxa" w:w="52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BT023</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Native MODEL_UNAVAILABLE</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2</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BT038 BT051</w:t>
            </w:r>
          </w:p>
        </w:tc>
      </w:tr>
      <w:tr>
        <w:trPr>
          <w:cantSplit/>
        </w:trPr>
        <w:tc>
          <w:tcPr>
            <w:tcW w:type="dxa" w:w="3528"/>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Explanation language or style</w:t>
            </w:r>
          </w:p>
        </w:tc>
        <w:tc>
          <w:tcPr>
            <w:tcW w:type="dxa" w:w="7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5</w:t>
            </w:r>
          </w:p>
        </w:tc>
        <w:tc>
          <w:tcPr>
            <w:tcW w:type="dxa" w:w="52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BT007 BT008 BT012 BT018 BT021</w:t>
            </w:r>
          </w:p>
        </w:tc>
      </w:tr>
      <w:tr>
        <w:trPr>
          <w:cantSplit/>
        </w:trPr>
        <w:tc>
          <w:tcPr>
            <w:tcW w:type="dxa" w:w="3528"/>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Explanation schema or length</w:t>
            </w:r>
          </w:p>
        </w:tc>
        <w:tc>
          <w:tcPr>
            <w:tcW w:type="dxa" w:w="7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w:t>
            </w:r>
          </w:p>
        </w:tc>
        <w:tc>
          <w:tcPr>
            <w:tcW w:type="dxa" w:w="52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BT024</w:t>
            </w:r>
          </w:p>
        </w:tc>
      </w:tr>
    </w:tbl>
    <w:p>
      <w:pPr>
        <w:spacing w:after="0"/>
      </w:pPr>
      <w:r>
        <w:rPr>
          <w:b w:val="0"/>
        </w:rPr>
      </w:r>
    </w:p>
    <w:p>
      <w:pPr>
        <w:pStyle w:val="Heading2"/>
      </w:pPr>
      <w:r>
        <w:t>What remains unresolved</w:t>
      </w:r>
    </w:p>
    <w:p>
      <w:r>
        <w:rPr>
          <w:b w:val="0"/>
        </w:rPr>
        <w:t>Requirement preservation and schema handling remain open: examples include the desk in BT001, studio facilities and daylight in BT022, date-window semantics in BT042, duplicate criteria in BT013/BT025 and an unregistered amenity in BT044. Lowering the semantic audit standard would not preserve those missing needs.</w:t>
      </w:r>
    </w:p>
    <w:p>
      <w:r>
        <w:rPr>
          <w:b w:val="0"/>
        </w:rPr>
        <w:t>BT023 still needs diagnosis of its exact native 422 request and response. BT038 and BT051 retain model-unavailable business errors; provider, network and application causes have not all been separated. The six list-producing explanation failures are BT007, BT008, BT012, BT018, BT021 and BT024. Requested language and paragraph-length rules remain material to complete delivery.</w:t>
      </w:r>
    </w:p>
    <w:p>
      <w:r>
        <w:br w:type="page"/>
      </w:r>
    </w:p>
    <w:p>
      <w:pPr>
        <w:pStyle w:val="Heading1"/>
      </w:pPr>
      <w:r>
        <w:t>Repair priorities and acceptance conditions</w:t>
      </w:r>
    </w:p>
    <w:p>
      <w:r>
        <w:rPr>
          <w:b w:val="0"/>
        </w:rPr>
        <w:t>The following are proposed follow-up checks. They are not additional fixes or completed regressions in this extension. No production code was changed to produce these expanded metrics.</w:t>
      </w:r>
    </w:p>
    <w:p>
      <w:pPr>
        <w:pStyle w:val="Heading2"/>
      </w:pPr>
      <w:r>
        <w:t>Requirement intake and state preservation</w:t>
      </w:r>
    </w:p>
    <w:p>
      <w:pPr>
        <w:spacing w:after="80"/>
      </w:pPr>
      <w:r>
        <w:rPr>
          <w:rFonts w:ascii="Courier New" w:hAnsi="Courier New"/>
          <w:b w:val="0"/>
          <w:sz w:val="16"/>
        </w:rPr>
        <w:t>src/agents/requirement/execution.ts  extractor.ts  contracts.ts  validation.ts</w:t>
        <w:br/>
        <w:t>src/domain/workflow.ts</w:t>
      </w:r>
    </w:p>
    <w:p>
      <w:r>
        <w:rPr>
          <w:b w:val="0"/>
        </w:rPr>
        <w:t>Review and integrate the tested deadline patch, retain phase timing and the bounded retry, and replay all six residual timeout cases. Preserve material user needs, quotes, hard/soft status and multi-turn updates. Unsupported evidence should remain visible as unverified rather than being silently dropped. Duplicate and invalid-amenity failures need specific regression coverage.</w:t>
      </w:r>
    </w:p>
    <w:p>
      <w:pPr>
        <w:pStyle w:val="Heading2"/>
      </w:pPr>
      <w:r>
        <w:t>Native contract and explanation delivery</w:t>
      </w:r>
    </w:p>
    <w:p>
      <w:pPr>
        <w:spacing w:after="80"/>
      </w:pPr>
      <w:r>
        <w:rPr>
          <w:rFonts w:ascii="Courier New" w:hAnsi="Courier New"/>
          <w:b w:val="0"/>
          <w:sz w:val="16"/>
        </w:rPr>
        <w:t>src/adapters/native-recommendation.ts</w:t>
        <w:br/>
        <w:t>recommendation/contracts/requirements.py  validation/rules.py  assembly.py</w:t>
        <w:br/>
        <w:t>src/agents/explanation/generator.ts  recovery.ts  validation.ts  contracts.ts</w:t>
        <w:br/>
        <w:t>src/model.ts</w:t>
        <w:br/>
        <w:t>recommendation/agent/controller.py  model_bridge.ts</w:t>
      </w:r>
    </w:p>
    <w:p>
      <w:r>
        <w:rPr>
          <w:b w:val="0"/>
        </w:rPr>
        <w:t>Diagnose BT023 from the recorded payload before changing serialization or contract validation. Replay the six explanation failures with the saved lists: output must match the current question's language, respect the 600-character paragraph limit, preserve selected order and evidence, and pass recovery validation. Retain bounded structured diagnostics for BT038/BT051 and the previous conversation state.</w:t>
      </w:r>
    </w:p>
    <w:p>
      <w:pPr>
        <w:pStyle w:val="Heading2"/>
      </w:pPr>
      <w:r>
        <w:t>Exploration and relevance validation</w:t>
      </w:r>
    </w:p>
    <w:p>
      <w:pPr>
        <w:spacing w:after="80"/>
      </w:pPr>
      <w:r>
        <w:rPr>
          <w:rFonts w:ascii="Courier New" w:hAnsi="Courier New"/>
          <w:b w:val="0"/>
          <w:sz w:val="16"/>
        </w:rPr>
        <w:t>recommendation/ranking/selection.py  exploration.py</w:t>
        <w:br/>
        <w:t>recommendation/settings/recommendation.yaml</w:t>
      </w:r>
    </w:p>
    <w:p>
      <w:r>
        <w:rPr>
          <w:b w:val="0"/>
        </w:rPr>
        <w:t>Investigate the selected-order loss in S21 and S24 and the retained S08 preference trade-off. A same-main cold-start on/off comparison over predefined seeds is needed to isolate policy effects; the two repeated cases here do not provide that causal result. Ask independent reviewers to check principal/secondary trade-offs, source quality and the S13 borderline judgment. Agree relevance and latency thresholds before treating them as release gates.</w:t>
      </w:r>
    </w:p>
    <w:tbl>
      <w:tblPr>
        <w:tblW w:type="auto" w:w="0"/>
        <w:jc w:val="center"/>
        <w:tblLayout w:type="fixed"/>
        <w:tblLook w:firstColumn="1" w:firstRow="1" w:lastColumn="0" w:lastRow="0" w:noHBand="0" w:noVBand="1" w:val="04A0"/>
      </w:tblPr>
      <w:tblGrid>
        <w:gridCol w:w="3744"/>
        <w:gridCol w:w="5832"/>
      </w:tblGrid>
      <w:tr>
        <w:trPr>
          <w:tblHeader/>
          <w:cantSplit/>
        </w:trPr>
        <w:tc>
          <w:tcPr>
            <w:tcW w:type="dxa" w:w="3744"/>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Acceptance area</w:t>
            </w:r>
          </w:p>
        </w:tc>
        <w:tc>
          <w:tcPr>
            <w:tcW w:type="dxa" w:w="583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Current disposition</w:t>
            </w:r>
          </w:p>
        </w:tc>
      </w:tr>
      <w:tr>
        <w:trPr>
          <w:cantSplit/>
        </w:trPr>
        <w:tc>
          <w:tcPr>
            <w:tcW w:type="dxa" w:w="37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Structured native outcomes and stored hard conditions</w:t>
            </w:r>
          </w:p>
        </w:tc>
        <w:tc>
          <w:tcPr>
            <w:tcW w:type="dxa" w:w="58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Observed checks passed for 40 main scenarios and registered repeats</w:t>
            </w:r>
          </w:p>
        </w:tc>
      </w:tr>
      <w:tr>
        <w:trPr>
          <w:cantSplit/>
        </w:trPr>
        <w:tc>
          <w:tcPr>
            <w:tcW w:type="dxa" w:w="37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Recommendation relevance and exploration</w:t>
            </w:r>
          </w:p>
        </w:tc>
        <w:tc>
          <w:tcPr>
            <w:tcW w:type="dxa" w:w="583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Preliminary quantitative results; independent human review pending</w:t>
            </w:r>
          </w:p>
        </w:tc>
      </w:tr>
      <w:tr>
        <w:trPr>
          <w:cantSplit/>
        </w:trPr>
        <w:tc>
          <w:tcPr>
            <w:tcW w:type="dxa" w:w="3744"/>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Complete dialogue to list and explanation</w:t>
            </w:r>
          </w:p>
        </w:tc>
        <w:tc>
          <w:tcPr>
            <w:tcW w:type="dxa" w:w="58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Deferred; remaining complex failures and successful journey replay needed</w:t>
            </w:r>
          </w:p>
        </w:tc>
      </w:tr>
      <w:tr>
        <w:trPr>
          <w:cantSplit/>
        </w:trPr>
        <w:tc>
          <w:tcPr>
            <w:tcW w:type="dxa" w:w="3744"/>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Browser acceptance and patch release</w:t>
            </w:r>
          </w:p>
        </w:tc>
        <w:tc>
          <w:tcPr>
            <w:tcW w:type="dxa" w:w="583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Pending browser checks, patch integration and project-team sign-off</w:t>
            </w:r>
          </w:p>
        </w:tc>
      </w:tr>
    </w:tbl>
    <w:p>
      <w:pPr>
        <w:spacing w:after="0"/>
      </w:pPr>
      <w:r>
        <w:rPr>
          <w:b w:val="0"/>
        </w:rPr>
      </w:r>
    </w:p>
    <w:p>
      <w:r>
        <w:br w:type="page"/>
      </w:r>
    </w:p>
    <w:p>
      <w:pPr>
        <w:pStyle w:val="Heading1"/>
      </w:pPr>
      <w:r>
        <w:t>Evidence usage and reproduction</w:t>
      </w:r>
    </w:p>
    <w:tbl>
      <w:tblPr>
        <w:tblW w:type="auto" w:w="0"/>
        <w:jc w:val="center"/>
        <w:tblLayout w:type="fixed"/>
        <w:tblLook w:firstColumn="1" w:firstRow="1" w:lastColumn="0" w:lastRow="0" w:noHBand="0" w:noVBand="1" w:val="04A0"/>
      </w:tblPr>
      <w:tblGrid>
        <w:gridCol w:w="720"/>
        <w:gridCol w:w="8856"/>
      </w:tblGrid>
      <w:tr>
        <w:trPr>
          <w:tblHeader/>
          <w:cantSplit/>
        </w:trPr>
        <w:tc>
          <w:tcPr>
            <w:tcW w:type="dxa" w:w="720"/>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ID</w:t>
            </w:r>
          </w:p>
        </w:tc>
        <w:tc>
          <w:tcPr>
            <w:tcW w:type="dxa" w:w="8856"/>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Material</w:t>
            </w:r>
          </w:p>
        </w:tc>
      </w:tr>
      <w:tr>
        <w:trPr>
          <w:cantSplit/>
        </w:trPr>
        <w:tc>
          <w:tcPr>
            <w:tcW w:type="dxa" w:w="72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E01</w:t>
            </w:r>
          </w:p>
        </w:tc>
        <w:tc>
          <w:tcPr>
            <w:tcW w:type="dxa" w:w="88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evidence/Group42_20_Scenario_Live_Main_2026-10-24.zip. Unchanged original 20-case archive with 577 frozen and 42 supplemental judgments, actual responses, traces and prior checks.</w:t>
            </w:r>
          </w:p>
        </w:tc>
      </w:tr>
      <w:tr>
        <w:trPr>
          <w:cantSplit/>
        </w:trPr>
        <w:tc>
          <w:tcPr>
            <w:tcW w:type="dxa" w:w="72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E02</w:t>
            </w:r>
          </w:p>
        </w:tc>
        <w:tc>
          <w:tcPr>
            <w:tcW w:type="dxa" w:w="88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inputs/, raw/, metrics/ and reproduction/ in this expanded package. Twenty new frozen scenarios, source facts and grades, 600 initial review pairs, all 32 new native executions, recorded seeds, API audit and calculations.</w:t>
            </w:r>
          </w:p>
        </w:tc>
      </w:tr>
      <w:tr>
        <w:trPr>
          <w:cantSplit/>
        </w:trPr>
        <w:tc>
          <w:tcPr>
            <w:tcW w:type="dxa" w:w="72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E03</w:t>
            </w:r>
          </w:p>
        </w:tc>
        <w:tc>
          <w:tcPr>
            <w:tcW w:type="dxa" w:w="8856"/>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evidence/Group42_Blind_Evaluation_Timeout_Fixed_2026-10-24.zip. Unchanged 60-case live replay, baseline comparison, all 116 turns, failure tracker, local patch and offline test evidence.</w:t>
            </w:r>
          </w:p>
        </w:tc>
      </w:tr>
      <w:tr>
        <w:trPr>
          <w:cantSplit/>
        </w:trPr>
        <w:tc>
          <w:tcPr>
            <w:tcW w:type="dxa" w:w="72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E04</w:t>
            </w:r>
          </w:p>
        </w:tc>
        <w:tc>
          <w:tcPr>
            <w:tcW w:type="dxa" w:w="8856"/>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English formula workbook and reports/Independent_Verification_EN.json. All 440 main/repeat scenario-K rows, 90 macro metric values and 428,620 frozen corpus grades independently checked.</w:t>
            </w:r>
          </w:p>
        </w:tc>
      </w:tr>
    </w:tbl>
    <w:p>
      <w:pPr>
        <w:spacing w:after="0"/>
      </w:pPr>
      <w:r>
        <w:rPr>
          <w:b w:val="0"/>
        </w:rPr>
      </w:r>
    </w:p>
    <w:p>
      <w:pPr>
        <w:pStyle w:val="Heading2"/>
      </w:pPr>
      <w:r>
        <w:t>Evidence identities</w:t>
      </w:r>
    </w:p>
    <w:p>
      <w:r>
        <w:rPr>
          <w:b/>
        </w:rPr>
        <w:t>Main commit</w:t>
      </w:r>
    </w:p>
    <w:p>
      <w:pPr>
        <w:spacing w:after="80"/>
      </w:pPr>
      <w:r>
        <w:rPr>
          <w:rFonts w:ascii="Courier New" w:hAnsi="Courier New"/>
          <w:b w:val="0"/>
          <w:sz w:val="16"/>
        </w:rPr>
        <w:t>4d687e3b27e016f622dd487909fc99f56096265c</w:t>
      </w:r>
    </w:p>
    <w:p>
      <w:r>
        <w:rPr>
          <w:b/>
        </w:rPr>
        <w:t>E01 original ZIP SHA256</w:t>
      </w:r>
    </w:p>
    <w:p>
      <w:pPr>
        <w:spacing w:after="80"/>
      </w:pPr>
      <w:r>
        <w:rPr>
          <w:rFonts w:ascii="Courier New" w:hAnsi="Courier New"/>
          <w:b w:val="0"/>
          <w:sz w:val="16"/>
        </w:rPr>
        <w:t>5cfe10eb150023076728d49ed09d068db30617f9cab6f7b16603cdd6280b4c70</w:t>
      </w:r>
    </w:p>
    <w:p>
      <w:r>
        <w:rPr>
          <w:b/>
        </w:rPr>
        <w:t>E03 original ZIP SHA256</w:t>
      </w:r>
    </w:p>
    <w:p>
      <w:pPr>
        <w:spacing w:after="80"/>
      </w:pPr>
      <w:r>
        <w:rPr>
          <w:rFonts w:ascii="Courier New" w:hAnsi="Courier New"/>
          <w:b w:val="0"/>
          <w:sz w:val="16"/>
        </w:rPr>
        <w:t>75d8f7f973bdd5e96958c0f50431138cd9c86b269b24311c527dea73e5deedf9</w:t>
      </w:r>
    </w:p>
    <w:p>
      <w:r>
        <w:rPr>
          <w:b/>
        </w:rPr>
        <w:t>Local timeout patch SHA256</w:t>
      </w:r>
    </w:p>
    <w:p>
      <w:pPr>
        <w:spacing w:after="80"/>
      </w:pPr>
      <w:r>
        <w:rPr>
          <w:rFonts w:ascii="Courier New" w:hAnsi="Courier New"/>
          <w:b w:val="0"/>
          <w:sz w:val="16"/>
        </w:rPr>
        <w:t>3314cee3b488fdabdbb352579d51f5ed146a45327131e7583f3b35a5fbb43cc5</w:t>
      </w:r>
    </w:p>
    <w:p>
      <w:pPr>
        <w:pStyle w:val="Heading2"/>
      </w:pPr>
      <w:r>
        <w:t>Actual model usage</w:t>
      </w:r>
    </w:p>
    <w:tbl>
      <w:tblPr>
        <w:tblW w:type="auto" w:w="0"/>
        <w:jc w:val="center"/>
        <w:tblLayout w:type="fixed"/>
        <w:tblLook w:firstColumn="1" w:firstRow="1" w:lastColumn="0" w:lastRow="0" w:noHBand="0" w:noVBand="1" w:val="04A0"/>
      </w:tblPr>
      <w:tblGrid>
        <w:gridCol w:w="2880"/>
        <w:gridCol w:w="2232"/>
        <w:gridCol w:w="2592"/>
        <w:gridCol w:w="1872"/>
      </w:tblGrid>
      <w:tr>
        <w:trPr>
          <w:tblHeader/>
          <w:cantSplit/>
        </w:trPr>
        <w:tc>
          <w:tcPr>
            <w:tcW w:type="dxa" w:w="2880"/>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color w:val="FFFFFF"/>
                <w:sz w:val="19"/>
              </w:rPr>
              <w:t>Run</w:t>
            </w:r>
          </w:p>
        </w:tc>
        <w:tc>
          <w:tcPr>
            <w:tcW w:type="dxa" w:w="223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Actual HTTP requests</w:t>
            </w:r>
          </w:p>
        </w:tc>
        <w:tc>
          <w:tcPr>
            <w:tcW w:type="dxa" w:w="259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Reported inference usage</w:t>
            </w:r>
          </w:p>
        </w:tc>
        <w:tc>
          <w:tcPr>
            <w:tcW w:type="dxa" w:w="1872"/>
            <w:vAlign w:val="center"/>
            <w:tcMar>
              <w:top w:w="75" w:type="dxa"/>
              <w:left w:w="95" w:type="dxa"/>
              <w:bottom w:w="75" w:type="dxa"/>
              <w:right w:w="95" w:type="dxa"/>
            </w:tcMar>
            <w:shd w:fill="24374D"/>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color w:val="FFFFFF"/>
                <w:sz w:val="19"/>
              </w:rPr>
              <w:t>Missing usage</w:t>
            </w:r>
          </w:p>
        </w:tc>
      </w:tr>
      <w:tr>
        <w:trPr>
          <w:cantSplit/>
        </w:trPr>
        <w:tc>
          <w:tcPr>
            <w:tcW w:type="dxa" w:w="288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New extension and repeats</w:t>
            </w:r>
          </w:p>
        </w:tc>
        <w:tc>
          <w:tcPr>
            <w:tcW w:type="dxa" w:w="22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158</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USD 0.079645074</w:t>
            </w:r>
          </w:p>
        </w:tc>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w:t>
            </w:r>
          </w:p>
        </w:tc>
      </w:tr>
      <w:tr>
        <w:trPr>
          <w:cantSplit/>
        </w:trPr>
        <w:tc>
          <w:tcPr>
            <w:tcW w:type="dxa" w:w="2880"/>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Retained basic cohort</w:t>
            </w:r>
          </w:p>
        </w:tc>
        <w:tc>
          <w:tcPr>
            <w:tcW w:type="dxa" w:w="223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109</w:t>
            </w:r>
          </w:p>
        </w:tc>
        <w:tc>
          <w:tcPr>
            <w:tcW w:type="dxa" w:w="259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USD 0.053891106</w:t>
            </w:r>
          </w:p>
        </w:tc>
        <w:tc>
          <w:tcPr>
            <w:tcW w:type="dxa" w:w="1872"/>
            <w:vAlign w:val="center"/>
            <w:tcMar>
              <w:top w:w="75" w:type="dxa"/>
              <w:left w:w="95" w:type="dxa"/>
              <w:bottom w:w="75" w:type="dxa"/>
              <w:right w:w="95" w:type="dxa"/>
            </w:tcMar>
            <w:shd w:fill="F0F3F6"/>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0</w:t>
            </w:r>
          </w:p>
        </w:tc>
      </w:tr>
      <w:tr>
        <w:trPr>
          <w:cantSplit/>
        </w:trPr>
        <w:tc>
          <w:tcPr>
            <w:tcW w:type="dxa" w:w="2880"/>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left"/>
            </w:pPr>
            <w:r>
              <w:rPr>
                <w:rFonts w:ascii="Arial" w:hAnsi="Arial"/>
                <w:b w:val="0"/>
                <w:color w:val="000000"/>
                <w:sz w:val="19"/>
              </w:rPr>
              <w:t>Retained complex rerun</w:t>
            </w:r>
          </w:p>
        </w:tc>
        <w:tc>
          <w:tcPr>
            <w:tcW w:type="dxa" w:w="223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634</w:t>
            </w:r>
          </w:p>
        </w:tc>
        <w:tc>
          <w:tcPr>
            <w:tcW w:type="dxa" w:w="259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USD 0.543085554</w:t>
            </w:r>
          </w:p>
        </w:tc>
        <w:tc>
          <w:tcPr>
            <w:tcW w:type="dxa" w:w="1872"/>
            <w:vAlign w:val="center"/>
            <w:tcMar>
              <w:top w:w="75" w:type="dxa"/>
              <w:left w:w="95" w:type="dxa"/>
              <w:bottom w:w="75" w:type="dxa"/>
              <w:right w:w="95" w:type="dxa"/>
            </w:tcMar>
            <w:shd w:fill="FFFFFF"/>
            <w:tcBorders>
              <w:top w:val="single" w:sz="5" w:color="D9D9D9"/>
              <w:left w:val="single" w:sz="5" w:color="D9D9D9"/>
              <w:bottom w:val="single" w:sz="5" w:color="D9D9D9"/>
              <w:right w:val="single" w:sz="5" w:color="D9D9D9"/>
            </w:tcBorders>
          </w:tcPr>
          <w:p>
            <w:pPr>
              <w:spacing w:after="20" w:before="20" w:line="250" w:lineRule="auto"/>
              <w:jc w:val="center"/>
            </w:pPr>
            <w:r>
              <w:rPr>
                <w:rFonts w:ascii="Arial" w:hAnsi="Arial"/>
                <w:b w:val="0"/>
                <w:color w:val="000000"/>
                <w:sz w:val="19"/>
              </w:rPr>
              <w:t>78</w:t>
            </w:r>
          </w:p>
        </w:tc>
      </w:tr>
    </w:tbl>
    <w:p>
      <w:pPr>
        <w:spacing w:after="0"/>
      </w:pPr>
      <w:r>
        <w:rPr>
          <w:b w:val="0"/>
        </w:rPr>
      </w:r>
    </w:p>
    <w:p>
      <w:r>
        <w:rPr>
          <w:b w:val="0"/>
        </w:rPr>
        <w:t>All 158 new requests returned HTTP 200, with no transport errors or missing usage. The requested route was cline-pass/deepseek-v4.1-flash through Cline; responses reported vmc/deepseek-v4p1-flash-contributor-fallbacks. Backend identity was not independently verified. Reported inference usage is not reconciled billing; missing complex-run usage prevents an exact total. No paid relevance judging or full complex rerun was added.</w:t>
      </w:r>
    </w:p>
    <w:p>
      <w:r>
        <w:rPr>
          <w:b w:val="0"/>
        </w:rPr>
        <w:t>The independent verifier uses only standard Python and saved evidence: python3 reproduction/verify_expanded_metrics.py. It checks both original ZIP hashes, all frozen input hashes, source-rubric grades and metrics without a model or network. Credentials were removed after execution. Source and database hashes remain unchanged. SHA256SUMS.txt covers the delivered files.</w:t>
      </w:r>
    </w:p>
    <w:p>
      <w:r>
        <w:rPr>
          <w:b/>
        </w:rPr>
        <w:t>Final disposition: ACCEPTANCE DEFERRED for the complete system. This report is complete as an evidence record. No human relevance sign-off, project-team approval or GitHub publication of this extension is recorded.</w:t>
      </w:r>
    </w:p>
    <w:sectPr w:rsidR="00FC693F" w:rsidRPr="0006063C" w:rsidSect="00034616">
      <w:footerReference w:type="default" r:id="rId9"/>
      <w:pgSz w:w="11905" w:h="16838"/>
      <w:pgMar w:top="893" w:right="1066" w:bottom="893" w:left="106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42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Testing and Acceptance Report</dc:title>
  <dc:subject>Group 42 Singapore Rental Multi Agent Workbench</dc:subject>
  <dc:creator>Group 42 Testing and Acceptance</dc:creator>
  <cp:keywords>testing acceptance recommendation precision recall NDCG workflow</cp:keywords>
  <dc:description>generated by python-docx</dc:description>
  <cp:lastModifiedBy/>
  <cp:revision>1</cp:revision>
  <dcterms:created xsi:type="dcterms:W3CDTF">2013-12-23T23:15:00Z</dcterms:created>
  <dcterms:modified xsi:type="dcterms:W3CDTF">2013-12-23T23:15:00Z</dcterms:modified>
  <cp:category/>
</cp:coreProperties>
</file>