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4D53" w14:textId="77777777" w:rsidR="00D819DC" w:rsidRDefault="00000000">
      <w:pPr>
        <w:pStyle w:val="Title"/>
      </w:pPr>
      <w:r>
        <w:t>SIMM 2.8 Challenge Model Technical Specification</w:t>
      </w:r>
    </w:p>
    <w:p w14:paraId="060C9D41" w14:textId="77777777" w:rsidR="00D819DC" w:rsidRDefault="00000000">
      <w:pPr>
        <w:pStyle w:val="Date"/>
      </w:pPr>
      <w:r>
        <w:t>February 26, 2026</w:t>
      </w:r>
    </w:p>
    <w:p w14:paraId="598AF1F4" w14:textId="77777777" w:rsidR="00D819DC" w:rsidRDefault="00000000">
      <w:pPr>
        <w:pStyle w:val="Heading2"/>
      </w:pPr>
      <w:bookmarkStart w:id="0" w:name="executive-summary"/>
      <w:bookmarkStart w:id="1" w:name="key-achievements"/>
      <w:r>
        <w:t>Key Achievements</w:t>
      </w:r>
    </w:p>
    <w:p w14:paraId="427105DE" w14:textId="77777777" w:rsidR="00D81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Four-Tier Challenge Strategy</w:t>
      </w:r>
      <w:r>
        <w:t>: Differential verification across Linear Products, Vanilla Options, Credit Derivatives, and Exotic Structures</w:t>
      </w:r>
    </w:p>
    <w:p w14:paraId="04FAE287" w14:textId="77777777" w:rsidR="00D81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Mathematical Circuit Breakers</w:t>
      </w:r>
      <w:r>
        <w:t>: ISDA-formula-based assertions (not black-box comparisons)</w:t>
      </w:r>
    </w:p>
    <w:p w14:paraId="27D11675" w14:textId="77777777" w:rsidR="00D81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Fallback Mechanism</w:t>
      </w:r>
      <w:r>
        <w:t>: Automatic downgrade to Schedule-based method when SIMM 2.8 fails</w:t>
      </w:r>
    </w:p>
    <w:p w14:paraId="1B574FF0" w14:textId="77777777" w:rsidR="00D81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Cross-Platform Compatibility</w:t>
      </w:r>
      <w:r>
        <w:t>: Pure Python implementation, Windows/macOS/Linux support</w:t>
      </w:r>
    </w:p>
    <w:p w14:paraId="2D5F8C6F" w14:textId="77777777" w:rsidR="00D819DC" w:rsidRDefault="00000000">
      <w:pPr>
        <w:pStyle w:val="Heading1"/>
      </w:pPr>
      <w:bookmarkStart w:id="2" w:name="architecture-overview"/>
      <w:bookmarkEnd w:id="0"/>
      <w:bookmarkEnd w:id="1"/>
      <w:r>
        <w:t>1. Architecture Overview</w:t>
      </w:r>
    </w:p>
    <w:p w14:paraId="459B432F" w14:textId="77777777" w:rsidR="00D819DC" w:rsidRDefault="00000000">
      <w:pPr>
        <w:pStyle w:val="Heading2"/>
      </w:pPr>
      <w:bookmarkStart w:id="3" w:name="design-philosophy"/>
      <w:r>
        <w:t>1.1 Design Philosophy</w:t>
      </w:r>
    </w:p>
    <w:p w14:paraId="706D3923" w14:textId="77777777" w:rsidR="00D819DC" w:rsidRDefault="00000000">
      <w:pPr>
        <w:pStyle w:val="FirstParagraph"/>
      </w:pPr>
      <w:r>
        <w:t xml:space="preserve">The Challenge Model follows a </w:t>
      </w:r>
      <w:r>
        <w:rPr>
          <w:b/>
          <w:bCs/>
        </w:rPr>
        <w:t>dual-track calculation</w:t>
      </w:r>
      <w:r>
        <w:t xml:space="preserve"> approach:</w:t>
      </w:r>
    </w:p>
    <w:p w14:paraId="2935F677" w14:textId="77777777" w:rsidR="00D819D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Trade Input                              │</w:t>
      </w:r>
      <w:r>
        <w:br/>
      </w:r>
      <w:r>
        <w:rPr>
          <w:rStyle w:val="VerbatimChar"/>
        </w:rPr>
        <w:t>└─────────────────────────┬───────────────────────────────────┘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│              │              │</w:t>
      </w:r>
      <w:r>
        <w:br/>
      </w:r>
      <w:r>
        <w:rPr>
          <w:rStyle w:val="VerbatimChar"/>
        </w:rPr>
        <w:t xml:space="preserve">           ▼              ▼              ▼</w:t>
      </w:r>
      <w:r>
        <w:br/>
      </w:r>
      <w:r>
        <w:rPr>
          <w:rStyle w:val="VerbatimChar"/>
        </w:rPr>
        <w:t>┌────────────────┐ ┌────────────────┐ ┌────────────────┐</w:t>
      </w:r>
      <w:r>
        <w:br/>
      </w:r>
      <w:r>
        <w:rPr>
          <w:rStyle w:val="VerbatimChar"/>
        </w:rPr>
        <w:t>│   SIMM 2.8     │ │    Challenge   │ │   Schedule-    │</w:t>
      </w:r>
      <w:r>
        <w:br/>
      </w:r>
      <w:r>
        <w:rPr>
          <w:rStyle w:val="VerbatimChar"/>
        </w:rPr>
        <w:t>│   (Official)   │ │     Model      │ │   Based        │</w:t>
      </w:r>
      <w:r>
        <w:br/>
      </w:r>
      <w:r>
        <w:rPr>
          <w:rStyle w:val="VerbatimChar"/>
        </w:rPr>
        <w:t>│                │ │ (Independent)  │ │  (Fallback)    │</w:t>
      </w:r>
      <w:r>
        <w:br/>
      </w:r>
      <w:r>
        <w:rPr>
          <w:rStyle w:val="VerbatimChar"/>
        </w:rPr>
        <w:t>└───────┬────────┘ └───────┬────────┘ └───────┬────────┘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└──────────────────┼──────────────────┘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│ Comparison Engine  │</w:t>
      </w:r>
      <w:r>
        <w:br/>
      </w:r>
      <w:r>
        <w:rPr>
          <w:rStyle w:val="VerbatimChar"/>
        </w:rPr>
        <w:t xml:space="preserve">                │  (Mathematical     │</w:t>
      </w:r>
      <w:r>
        <w:br/>
      </w:r>
      <w:r>
        <w:rPr>
          <w:rStyle w:val="VerbatimChar"/>
        </w:rPr>
        <w:t xml:space="preserve">                │   Assertions)      │</w:t>
      </w:r>
      <w:r>
        <w:br/>
      </w:r>
      <w:r>
        <w:rPr>
          <w:rStyle w:val="VerbatimChar"/>
        </w:rPr>
        <w:t xml:space="preserve">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lastRenderedPageBreak/>
        <w:t xml:space="preserve">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│  Circuit Breaker   │</w:t>
      </w:r>
      <w:r>
        <w:br/>
      </w:r>
      <w:r>
        <w:rPr>
          <w:rStyle w:val="VerbatimChar"/>
        </w:rPr>
        <w:t xml:space="preserve">                │ (Trigger if SIMM   │</w:t>
      </w:r>
      <w:r>
        <w:br/>
      </w:r>
      <w:r>
        <w:rPr>
          <w:rStyle w:val="VerbatimChar"/>
        </w:rPr>
        <w:t xml:space="preserve">                │  is invalid)       │</w:t>
      </w:r>
      <w:r>
        <w:br/>
      </w:r>
      <w:r>
        <w:rPr>
          <w:rStyle w:val="VerbatimChar"/>
        </w:rPr>
        <w:t xml:space="preserve">                └────────────────────┘</w:t>
      </w:r>
    </w:p>
    <w:p w14:paraId="163D0BB9" w14:textId="77777777" w:rsidR="00D819DC" w:rsidRDefault="00000000">
      <w:pPr>
        <w:pStyle w:val="Heading2"/>
      </w:pPr>
      <w:bookmarkStart w:id="4" w:name="core-components"/>
      <w:bookmarkEnd w:id="3"/>
      <w:r>
        <w:t>1.2 Core Components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0"/>
        <w:gridCol w:w="2160"/>
        <w:gridCol w:w="3840"/>
      </w:tblGrid>
      <w:tr w:rsidR="00D819DC" w14:paraId="3C5F13C0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0" w:type="dxa"/>
          </w:tcPr>
          <w:p w14:paraId="3EF77F8A" w14:textId="77777777" w:rsidR="00D819DC" w:rsidRDefault="00000000">
            <w:pPr>
              <w:pStyle w:val="Compact"/>
            </w:pPr>
            <w:r>
              <w:t>Component</w:t>
            </w:r>
          </w:p>
        </w:tc>
        <w:tc>
          <w:tcPr>
            <w:tcW w:w="1980" w:type="dxa"/>
          </w:tcPr>
          <w:p w14:paraId="37E4A7FA" w14:textId="77777777" w:rsidR="00D819DC" w:rsidRDefault="00000000">
            <w:pPr>
              <w:pStyle w:val="Compact"/>
            </w:pPr>
            <w:r>
              <w:t>Purpose</w:t>
            </w:r>
          </w:p>
        </w:tc>
        <w:tc>
          <w:tcPr>
            <w:tcW w:w="3520" w:type="dxa"/>
          </w:tcPr>
          <w:p w14:paraId="5A0CE94D" w14:textId="77777777" w:rsidR="00D819DC" w:rsidRDefault="00000000">
            <w:pPr>
              <w:pStyle w:val="Compact"/>
            </w:pPr>
            <w:r>
              <w:t>Implementation</w:t>
            </w:r>
          </w:p>
        </w:tc>
      </w:tr>
      <w:tr w:rsidR="00D819DC" w14:paraId="70310488" w14:textId="77777777">
        <w:tc>
          <w:tcPr>
            <w:tcW w:w="2420" w:type="dxa"/>
          </w:tcPr>
          <w:p w14:paraId="2685925B" w14:textId="77777777" w:rsidR="00D819DC" w:rsidRDefault="00000000">
            <w:pPr>
              <w:pStyle w:val="Compact"/>
            </w:pPr>
            <w:r>
              <w:rPr>
                <w:rStyle w:val="VerbatimChar"/>
              </w:rPr>
              <w:t>ProductClassifier</w:t>
            </w:r>
          </w:p>
        </w:tc>
        <w:tc>
          <w:tcPr>
            <w:tcW w:w="1980" w:type="dxa"/>
          </w:tcPr>
          <w:p w14:paraId="6D4C6C39" w14:textId="77777777" w:rsidR="00D819DC" w:rsidRDefault="00000000">
            <w:pPr>
              <w:pStyle w:val="Compact"/>
            </w:pPr>
            <w:r>
              <w:t>Route products to appropriate Challenge tier</w:t>
            </w:r>
          </w:p>
        </w:tc>
        <w:tc>
          <w:tcPr>
            <w:tcW w:w="3520" w:type="dxa"/>
          </w:tcPr>
          <w:p w14:paraId="27E0A545" w14:textId="77777777" w:rsidR="00D819DC" w:rsidRDefault="00000000">
            <w:pPr>
              <w:pStyle w:val="Compact"/>
            </w:pPr>
            <w:r>
              <w:t>Rule-based classifier</w:t>
            </w:r>
          </w:p>
        </w:tc>
      </w:tr>
      <w:tr w:rsidR="00D819DC" w14:paraId="2458603E" w14:textId="77777777">
        <w:tc>
          <w:tcPr>
            <w:tcW w:w="2420" w:type="dxa"/>
          </w:tcPr>
          <w:p w14:paraId="2387C5A7" w14:textId="77777777" w:rsidR="00D819DC" w:rsidRDefault="00000000">
            <w:pPr>
              <w:pStyle w:val="Compact"/>
            </w:pPr>
            <w:r>
              <w:rPr>
                <w:rStyle w:val="VerbatimChar"/>
              </w:rPr>
              <w:t>LinearChallenge</w:t>
            </w:r>
          </w:p>
        </w:tc>
        <w:tc>
          <w:tcPr>
            <w:tcW w:w="1980" w:type="dxa"/>
          </w:tcPr>
          <w:p w14:paraId="2AB64F0B" w14:textId="77777777" w:rsidR="00D819DC" w:rsidRDefault="00000000">
            <w:pPr>
              <w:pStyle w:val="Compact"/>
            </w:pPr>
            <w:r>
              <w:t>Verify Delta aggregation (Section C.1)</w:t>
            </w:r>
          </w:p>
        </w:tc>
        <w:tc>
          <w:tcPr>
            <w:tcW w:w="3520" w:type="dxa"/>
          </w:tcPr>
          <w:p w14:paraId="2F031564" w14:textId="77777777" w:rsidR="00D819DC" w:rsidRDefault="00000000">
            <w:pPr>
              <w:pStyle w:val="Compact"/>
            </w:pPr>
            <w:r>
              <w:t>Mathematical bounds</w:t>
            </w:r>
          </w:p>
        </w:tc>
      </w:tr>
      <w:tr w:rsidR="00D819DC" w14:paraId="7B2156C2" w14:textId="77777777">
        <w:tc>
          <w:tcPr>
            <w:tcW w:w="2420" w:type="dxa"/>
          </w:tcPr>
          <w:p w14:paraId="6D70E5DD" w14:textId="77777777" w:rsidR="00D819DC" w:rsidRDefault="00000000">
            <w:pPr>
              <w:pStyle w:val="Compact"/>
            </w:pPr>
            <w:r>
              <w:rPr>
                <w:rStyle w:val="VerbatimChar"/>
              </w:rPr>
              <w:t>VanillaOptionChallenge</w:t>
            </w:r>
          </w:p>
        </w:tc>
        <w:tc>
          <w:tcPr>
            <w:tcW w:w="1980" w:type="dxa"/>
          </w:tcPr>
          <w:p w14:paraId="1F2F4A18" w14:textId="77777777" w:rsidR="00D819DC" w:rsidRDefault="00000000">
            <w:pPr>
              <w:pStyle w:val="Compact"/>
            </w:pPr>
            <w:r>
              <w:t>Validate Curvature formula (Section 11)</w:t>
            </w:r>
          </w:p>
        </w:tc>
        <w:tc>
          <w:tcPr>
            <w:tcW w:w="3520" w:type="dxa"/>
          </w:tcPr>
          <w:p w14:paraId="743A4977" w14:textId="77777777" w:rsidR="00D819DC" w:rsidRDefault="00000000">
            <w:pPr>
              <w:pStyle w:val="Compact"/>
            </w:pPr>
            <w:r>
              <w:t>Vega-Gamma relationship</w:t>
            </w:r>
          </w:p>
        </w:tc>
      </w:tr>
      <w:tr w:rsidR="00D819DC" w14:paraId="2F679D89" w14:textId="77777777">
        <w:tc>
          <w:tcPr>
            <w:tcW w:w="2420" w:type="dxa"/>
          </w:tcPr>
          <w:p w14:paraId="490A4C7C" w14:textId="77777777" w:rsidR="00D819DC" w:rsidRDefault="00000000">
            <w:pPr>
              <w:pStyle w:val="Compact"/>
            </w:pPr>
            <w:r>
              <w:rPr>
                <w:rStyle w:val="VerbatimChar"/>
              </w:rPr>
              <w:t>CreditChallenge</w:t>
            </w:r>
          </w:p>
        </w:tc>
        <w:tc>
          <w:tcPr>
            <w:tcW w:w="1980" w:type="dxa"/>
          </w:tcPr>
          <w:p w14:paraId="2B24FC34" w14:textId="77777777" w:rsidR="00D819DC" w:rsidRDefault="00000000">
            <w:pPr>
              <w:pStyle w:val="Compact"/>
            </w:pPr>
            <w:r>
              <w:t>Check CRQ/CRNQ classification (Section C.3)</w:t>
            </w:r>
          </w:p>
        </w:tc>
        <w:tc>
          <w:tcPr>
            <w:tcW w:w="3520" w:type="dxa"/>
          </w:tcPr>
          <w:p w14:paraId="44EC117C" w14:textId="77777777" w:rsidR="00D819DC" w:rsidRDefault="00000000">
            <w:pPr>
              <w:pStyle w:val="Compact"/>
            </w:pPr>
            <w:r>
              <w:t>Rating-to-RW mapping</w:t>
            </w:r>
          </w:p>
        </w:tc>
      </w:tr>
      <w:tr w:rsidR="00D819DC" w14:paraId="4B556A24" w14:textId="77777777">
        <w:tc>
          <w:tcPr>
            <w:tcW w:w="2420" w:type="dxa"/>
          </w:tcPr>
          <w:p w14:paraId="3513624B" w14:textId="77777777" w:rsidR="00D819DC" w:rsidRDefault="00000000">
            <w:pPr>
              <w:pStyle w:val="Compact"/>
            </w:pPr>
            <w:r>
              <w:rPr>
                <w:rStyle w:val="VerbatimChar"/>
              </w:rPr>
              <w:t>ExoticCircuitBreaker</w:t>
            </w:r>
          </w:p>
        </w:tc>
        <w:tc>
          <w:tcPr>
            <w:tcW w:w="1980" w:type="dxa"/>
          </w:tcPr>
          <w:p w14:paraId="43AEA2B3" w14:textId="77777777" w:rsidR="00D819DC" w:rsidRDefault="00000000">
            <w:pPr>
              <w:pStyle w:val="Compact"/>
            </w:pPr>
            <w:r>
              <w:t>Detect formula inapplicability</w:t>
            </w:r>
          </w:p>
        </w:tc>
        <w:tc>
          <w:tcPr>
            <w:tcW w:w="3520" w:type="dxa"/>
          </w:tcPr>
          <w:p w14:paraId="1DA4837F" w14:textId="77777777" w:rsidR="00D819DC" w:rsidRDefault="00000000">
            <w:pPr>
              <w:pStyle w:val="Compact"/>
            </w:pPr>
            <w:r>
              <w:t>Pin Risk detection</w:t>
            </w:r>
          </w:p>
        </w:tc>
      </w:tr>
    </w:tbl>
    <w:p w14:paraId="26D5BA1A" w14:textId="77777777" w:rsidR="00D819DC" w:rsidRDefault="00000000">
      <w:r>
        <w:pict w14:anchorId="4F32BF7B">
          <v:rect id="_x0000_i1026" style="width:0;height:1.5pt" o:hralign="center" o:hrstd="t" o:hr="t"/>
        </w:pict>
      </w:r>
    </w:p>
    <w:p w14:paraId="705134CF" w14:textId="77777777" w:rsidR="00D819DC" w:rsidRDefault="00000000">
      <w:pPr>
        <w:pStyle w:val="Heading1"/>
      </w:pPr>
      <w:bookmarkStart w:id="5" w:name="tier-1-linear-products-challenge"/>
      <w:bookmarkEnd w:id="2"/>
      <w:bookmarkEnd w:id="4"/>
      <w:r>
        <w:t>2. Tier 1: Linear Products Challenge</w:t>
      </w:r>
    </w:p>
    <w:p w14:paraId="7663E055" w14:textId="77777777" w:rsidR="00D819DC" w:rsidRDefault="00000000">
      <w:pPr>
        <w:pStyle w:val="Heading2"/>
      </w:pPr>
      <w:bookmarkStart w:id="6" w:name="scope"/>
      <w:r>
        <w:t>2.1 Scope</w:t>
      </w:r>
    </w:p>
    <w:p w14:paraId="70A215E3" w14:textId="77777777" w:rsidR="00D819DC" w:rsidRDefault="00000000">
      <w:pPr>
        <w:pStyle w:val="FirstParagraph"/>
      </w:pPr>
      <w:r>
        <w:rPr>
          <w:b/>
          <w:bCs/>
        </w:rPr>
        <w:t>Applicable Products</w:t>
      </w:r>
      <w:r>
        <w:t>: FX Forward, FX Swap, NDF, IRS, Basis Swap, Cross Currency Swap (with ARR features)</w:t>
      </w:r>
    </w:p>
    <w:p w14:paraId="152E8CCB" w14:textId="77777777" w:rsidR="00D819DC" w:rsidRDefault="00000000">
      <w:pPr>
        <w:pStyle w:val="BodyText"/>
      </w:pPr>
      <w:r>
        <w:rPr>
          <w:b/>
          <w:bCs/>
        </w:rPr>
        <w:t>ISDA SIMM 2.8 References</w:t>
      </w:r>
      <w:r>
        <w:t>: - Section C.1: Delta Risk - Section 4: Aggregation Formula - Table 1: Risk Weights - Table 4: Correlation Coefficients</w:t>
      </w:r>
    </w:p>
    <w:p w14:paraId="35DC0DCE" w14:textId="77777777" w:rsidR="00D819DC" w:rsidRDefault="00000000">
      <w:pPr>
        <w:pStyle w:val="Heading3"/>
      </w:pPr>
      <w:bookmarkStart w:id="7" w:name="product-coverage-matrix"/>
      <w:r>
        <w:t>Product Coverage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1"/>
        <w:gridCol w:w="1527"/>
        <w:gridCol w:w="3211"/>
      </w:tblGrid>
      <w:tr w:rsidR="00D819DC" w14:paraId="6270FABE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0A6B4E" w14:textId="77777777" w:rsidR="00D819DC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68C37683" w14:textId="77777777" w:rsidR="00D819DC" w:rsidRDefault="00000000">
            <w:pPr>
              <w:pStyle w:val="Compact"/>
            </w:pPr>
            <w:r>
              <w:t>ARR Support</w:t>
            </w:r>
          </w:p>
        </w:tc>
        <w:tc>
          <w:tcPr>
            <w:tcW w:w="0" w:type="auto"/>
          </w:tcPr>
          <w:p w14:paraId="2DA65E00" w14:textId="77777777" w:rsidR="00D819DC" w:rsidRDefault="00000000">
            <w:pPr>
              <w:pStyle w:val="Compact"/>
            </w:pPr>
            <w:r>
              <w:t>Risk Weight Adjustment</w:t>
            </w:r>
          </w:p>
        </w:tc>
      </w:tr>
      <w:tr w:rsidR="00D819DC" w14:paraId="412B7922" w14:textId="77777777">
        <w:tc>
          <w:tcPr>
            <w:tcW w:w="0" w:type="auto"/>
          </w:tcPr>
          <w:p w14:paraId="23503593" w14:textId="77777777" w:rsidR="00D819DC" w:rsidRDefault="00000000">
            <w:pPr>
              <w:pStyle w:val="Compact"/>
            </w:pPr>
            <w:r>
              <w:t>FX Forward</w:t>
            </w:r>
          </w:p>
        </w:tc>
        <w:tc>
          <w:tcPr>
            <w:tcW w:w="0" w:type="auto"/>
          </w:tcPr>
          <w:p w14:paraId="5724071E" w14:textId="77777777" w:rsidR="00D819DC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1C31E504" w14:textId="77777777" w:rsidR="00D819DC" w:rsidRDefault="00000000">
            <w:pPr>
              <w:pStyle w:val="Compact"/>
            </w:pPr>
            <w:r>
              <w:t>Standard FX RW</w:t>
            </w:r>
          </w:p>
        </w:tc>
      </w:tr>
      <w:tr w:rsidR="00D819DC" w14:paraId="310B0863" w14:textId="77777777">
        <w:tc>
          <w:tcPr>
            <w:tcW w:w="0" w:type="auto"/>
          </w:tcPr>
          <w:p w14:paraId="3BD2ED69" w14:textId="77777777" w:rsidR="00D819DC" w:rsidRDefault="00000000">
            <w:pPr>
              <w:pStyle w:val="Compact"/>
            </w:pPr>
            <w:r>
              <w:t>FX Swap</w:t>
            </w:r>
          </w:p>
        </w:tc>
        <w:tc>
          <w:tcPr>
            <w:tcW w:w="0" w:type="auto"/>
          </w:tcPr>
          <w:p w14:paraId="25EAA9BE" w14:textId="77777777" w:rsidR="00D819DC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367E9446" w14:textId="77777777" w:rsidR="00D819DC" w:rsidRDefault="00000000">
            <w:pPr>
              <w:pStyle w:val="Compact"/>
            </w:pPr>
            <w:r>
              <w:t>Standard FX RW</w:t>
            </w:r>
          </w:p>
        </w:tc>
      </w:tr>
      <w:tr w:rsidR="00D819DC" w14:paraId="1F2A540C" w14:textId="77777777">
        <w:tc>
          <w:tcPr>
            <w:tcW w:w="0" w:type="auto"/>
          </w:tcPr>
          <w:p w14:paraId="0F4D9855" w14:textId="77777777" w:rsidR="00D819DC" w:rsidRDefault="00000000">
            <w:pPr>
              <w:pStyle w:val="Compact"/>
            </w:pPr>
            <w:r>
              <w:t>NDF</w:t>
            </w:r>
          </w:p>
        </w:tc>
        <w:tc>
          <w:tcPr>
            <w:tcW w:w="0" w:type="auto"/>
          </w:tcPr>
          <w:p w14:paraId="2ED9AA9B" w14:textId="77777777" w:rsidR="00D819DC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6F72B8D9" w14:textId="77777777" w:rsidR="00D819DC" w:rsidRDefault="00000000">
            <w:pPr>
              <w:pStyle w:val="Compact"/>
            </w:pPr>
            <w:r>
              <w:t>Standard FX RW</w:t>
            </w:r>
          </w:p>
        </w:tc>
      </w:tr>
      <w:tr w:rsidR="00D819DC" w14:paraId="02E03E0C" w14:textId="77777777">
        <w:tc>
          <w:tcPr>
            <w:tcW w:w="0" w:type="auto"/>
          </w:tcPr>
          <w:p w14:paraId="35E70389" w14:textId="77777777" w:rsidR="00D819DC" w:rsidRDefault="00000000">
            <w:pPr>
              <w:pStyle w:val="Compact"/>
            </w:pPr>
            <w:r>
              <w:t>IRS</w:t>
            </w:r>
          </w:p>
        </w:tc>
        <w:tc>
          <w:tcPr>
            <w:tcW w:w="0" w:type="auto"/>
          </w:tcPr>
          <w:p w14:paraId="7A7F7AEE" w14:textId="77777777" w:rsidR="00D819DC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79BE657" w14:textId="77777777" w:rsidR="00D819DC" w:rsidRDefault="00000000">
            <w:pPr>
              <w:pStyle w:val="Compact"/>
            </w:pPr>
            <w:r>
              <w:t>+2% for ARR features</w:t>
            </w:r>
          </w:p>
        </w:tc>
      </w:tr>
      <w:tr w:rsidR="00D819DC" w14:paraId="1EE723F0" w14:textId="77777777">
        <w:tc>
          <w:tcPr>
            <w:tcW w:w="0" w:type="auto"/>
          </w:tcPr>
          <w:p w14:paraId="6FB90CCD" w14:textId="77777777" w:rsidR="00D819DC" w:rsidRDefault="00000000">
            <w:pPr>
              <w:pStyle w:val="Compact"/>
            </w:pPr>
            <w:r>
              <w:t>Basis Swap</w:t>
            </w:r>
          </w:p>
        </w:tc>
        <w:tc>
          <w:tcPr>
            <w:tcW w:w="0" w:type="auto"/>
          </w:tcPr>
          <w:p w14:paraId="292D0864" w14:textId="77777777" w:rsidR="00D819DC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FA7AEBB" w14:textId="77777777" w:rsidR="00D819DC" w:rsidRDefault="00000000">
            <w:pPr>
              <w:pStyle w:val="Compact"/>
            </w:pPr>
            <w:r>
              <w:t>+2% for ARR features</w:t>
            </w:r>
          </w:p>
        </w:tc>
      </w:tr>
      <w:tr w:rsidR="00D819DC" w14:paraId="653EC016" w14:textId="77777777">
        <w:tc>
          <w:tcPr>
            <w:tcW w:w="0" w:type="auto"/>
          </w:tcPr>
          <w:p w14:paraId="245A6629" w14:textId="77777777" w:rsidR="00D819DC" w:rsidRDefault="00000000">
            <w:pPr>
              <w:pStyle w:val="Compact"/>
            </w:pPr>
            <w:r>
              <w:lastRenderedPageBreak/>
              <w:t>Cross Currency Swap</w:t>
            </w:r>
          </w:p>
        </w:tc>
        <w:tc>
          <w:tcPr>
            <w:tcW w:w="0" w:type="auto"/>
          </w:tcPr>
          <w:p w14:paraId="3B0E00AC" w14:textId="77777777" w:rsidR="00D819DC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33C8ECB" w14:textId="77777777" w:rsidR="00D819DC" w:rsidRDefault="00000000">
            <w:pPr>
              <w:pStyle w:val="Compact"/>
            </w:pPr>
            <w:r>
              <w:t>FX RW with basis adjustment</w:t>
            </w:r>
          </w:p>
        </w:tc>
      </w:tr>
    </w:tbl>
    <w:p w14:paraId="335BEAA1" w14:textId="77777777" w:rsidR="00D819DC" w:rsidRDefault="00000000">
      <w:pPr>
        <w:pStyle w:val="Heading2"/>
      </w:pPr>
      <w:bookmarkStart w:id="8" w:name="official-simm-2.8-formulas"/>
      <w:bookmarkEnd w:id="6"/>
      <w:bookmarkEnd w:id="7"/>
      <w:r>
        <w:t>2.2 Official SIMM 2.8 Formulas</w:t>
      </w:r>
    </w:p>
    <w:p w14:paraId="6844E5C6" w14:textId="77777777" w:rsidR="00D819DC" w:rsidRDefault="00000000">
      <w:pPr>
        <w:pStyle w:val="Heading3"/>
      </w:pPr>
      <w:bookmarkStart w:id="9" w:name="weighted-sensitivity"/>
      <w:r>
        <w:t>Weighted Sensitivity</w:t>
      </w:r>
    </w:p>
    <w:p w14:paraId="362FBB1E" w14:textId="77777777" w:rsidR="00D819DC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602A2DBC" w14:textId="77777777" w:rsidR="00D819DC" w:rsidRDefault="00000000">
      <w:pPr>
        <w:pStyle w:val="FirstParagraph"/>
      </w:pPr>
      <w:r>
        <w:t xml:space="preserve">Where: - </w:t>
      </w:r>
      <m:oMath>
        <m:r>
          <w:rPr>
            <w:rFonts w:ascii="Cambria Math" w:hAnsi="Cambria Math"/>
          </w:rPr>
          <m:t>W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= Weighted Sensitivity for bucket </w:t>
      </w:r>
      <m:oMath>
        <m:r>
          <w:rPr>
            <w:rFonts w:ascii="Cambria Math" w:hAnsi="Cambria Math"/>
          </w:rPr>
          <m:t>k</m:t>
        </m:r>
      </m:oMath>
      <w:r>
        <w:t xml:space="preserve"> -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= Risk Weight (from Table 1)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= Sensitivity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x</m:t>
        </m:r>
      </m:oMath>
      <w:r>
        <w:t xml:space="preserve">) -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= Concentration Risk factor</w:t>
      </w:r>
    </w:p>
    <w:p w14:paraId="4D297C35" w14:textId="77777777" w:rsidR="00D819DC" w:rsidRDefault="00000000">
      <w:pPr>
        <w:pStyle w:val="Heading3"/>
      </w:pPr>
      <w:bookmarkStart w:id="10" w:name="aggregation-formula"/>
      <w:bookmarkEnd w:id="9"/>
      <w:r>
        <w:t>Aggregation Formula</w:t>
      </w:r>
    </w:p>
    <w:p w14:paraId="4B8EE135" w14:textId="77777777" w:rsidR="00D819DC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kl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rad>
        </m:oMath>
      </m:oMathPara>
    </w:p>
    <w:p w14:paraId="436293EF" w14:textId="77777777" w:rsidR="00D819DC" w:rsidRDefault="00000000">
      <w:pPr>
        <w:pStyle w:val="FirstParagraph"/>
      </w:pPr>
      <w:r>
        <w:t xml:space="preserve">Where: - </w:t>
      </w:r>
      <m:oMath>
        <m:r>
          <w:rPr>
            <w:rFonts w:ascii="Cambria Math" w:hAnsi="Cambria Math"/>
          </w:rPr>
          <m:t>K</m:t>
        </m:r>
      </m:oMath>
      <w:r>
        <w:t xml:space="preserve"> = Total Margin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</m:oMath>
      <w:r>
        <w:t xml:space="preserve"> = Correlation coefficient between buckets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l</m:t>
        </m:r>
      </m:oMath>
    </w:p>
    <w:p w14:paraId="37D1FDF5" w14:textId="77777777" w:rsidR="00D819DC" w:rsidRDefault="00000000">
      <w:pPr>
        <w:pStyle w:val="Heading2"/>
      </w:pPr>
      <w:bookmarkStart w:id="11" w:name="challenge-verification-points"/>
      <w:bookmarkEnd w:id="8"/>
      <w:bookmarkEnd w:id="10"/>
      <w:r>
        <w:t>2.3 Challenge Verification Points</w:t>
      </w:r>
    </w:p>
    <w:p w14:paraId="0E087A72" w14:textId="77777777" w:rsidR="00D819DC" w:rsidRDefault="00000000">
      <w:pPr>
        <w:pStyle w:val="Heading3"/>
      </w:pPr>
      <w:bookmarkStart w:id="12" w:name="check-1-risk-weight-consistency"/>
      <w:r>
        <w:t>Check 1: Risk Weight Consistency</w:t>
      </w:r>
    </w:p>
    <w:p w14:paraId="764E241A" w14:textId="77777777" w:rsidR="00D819DC" w:rsidRDefault="00000000">
      <w:pPr>
        <w:pStyle w:val="FirstParagraph"/>
      </w:pPr>
      <w:r>
        <w:rPr>
          <w:b/>
          <w:bCs/>
        </w:rPr>
        <w:t>Assertion</w:t>
      </w:r>
      <w:r>
        <w:t xml:space="preserve">: SIMM-calculated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must match Table 1 values</w:t>
      </w:r>
    </w:p>
    <w:p w14:paraId="2ECBFE98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simm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table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|≤</m:t>
          </m:r>
          <m:r>
            <w:rPr>
              <w:rFonts w:ascii="Cambria Math" w:hAnsi="Cambria Math"/>
            </w:rPr>
            <m:t>0.001</m:t>
          </m:r>
        </m:oMath>
      </m:oMathPara>
    </w:p>
    <w:p w14:paraId="62F2DE84" w14:textId="77777777" w:rsidR="00D819DC" w:rsidRDefault="00000000">
      <w:pPr>
        <w:pStyle w:val="FirstParagraph"/>
      </w:pPr>
      <w:r>
        <w:rPr>
          <w:b/>
          <w:bCs/>
        </w:rPr>
        <w:t>Risk Weights (Table 1)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8"/>
        <w:gridCol w:w="1425"/>
      </w:tblGrid>
      <w:tr w:rsidR="00D819DC" w14:paraId="36D0BFC7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4F4ADE" w14:textId="77777777" w:rsidR="00D819DC" w:rsidRDefault="00000000">
            <w:pPr>
              <w:pStyle w:val="Compact"/>
            </w:pPr>
            <w:r>
              <w:t>Risk Class</w:t>
            </w:r>
          </w:p>
        </w:tc>
        <w:tc>
          <w:tcPr>
            <w:tcW w:w="0" w:type="auto"/>
          </w:tcPr>
          <w:p w14:paraId="6EF7E31D" w14:textId="77777777" w:rsidR="00D819DC" w:rsidRDefault="00000000">
            <w:pPr>
              <w:pStyle w:val="Compact"/>
            </w:pPr>
            <w:r>
              <w:t>Risk Weight</w:t>
            </w:r>
          </w:p>
        </w:tc>
      </w:tr>
      <w:tr w:rsidR="00D819DC" w14:paraId="3D620AE3" w14:textId="77777777">
        <w:tc>
          <w:tcPr>
            <w:tcW w:w="0" w:type="auto"/>
          </w:tcPr>
          <w:p w14:paraId="015A1308" w14:textId="77777777" w:rsidR="00D819DC" w:rsidRDefault="00000000">
            <w:pPr>
              <w:pStyle w:val="Compact"/>
            </w:pPr>
            <w:r>
              <w:t>Interest Rate</w:t>
            </w:r>
          </w:p>
        </w:tc>
        <w:tc>
          <w:tcPr>
            <w:tcW w:w="0" w:type="auto"/>
          </w:tcPr>
          <w:p w14:paraId="7798D64C" w14:textId="77777777" w:rsidR="00D819DC" w:rsidRDefault="00000000">
            <w:pPr>
              <w:pStyle w:val="Compact"/>
            </w:pPr>
            <w:r>
              <w:t>1.5%</w:t>
            </w:r>
          </w:p>
        </w:tc>
      </w:tr>
      <w:tr w:rsidR="00D819DC" w14:paraId="255CA3D2" w14:textId="77777777">
        <w:tc>
          <w:tcPr>
            <w:tcW w:w="0" w:type="auto"/>
          </w:tcPr>
          <w:p w14:paraId="75486D6B" w14:textId="77777777" w:rsidR="00D819DC" w:rsidRDefault="00000000">
            <w:pPr>
              <w:pStyle w:val="Compact"/>
            </w:pPr>
            <w:r>
              <w:t>FX</w:t>
            </w:r>
          </w:p>
        </w:tc>
        <w:tc>
          <w:tcPr>
            <w:tcW w:w="0" w:type="auto"/>
          </w:tcPr>
          <w:p w14:paraId="769AA298" w14:textId="77777777" w:rsidR="00D819DC" w:rsidRDefault="00000000">
            <w:pPr>
              <w:pStyle w:val="Compact"/>
            </w:pPr>
            <w:r>
              <w:t>8.0%</w:t>
            </w:r>
          </w:p>
        </w:tc>
      </w:tr>
      <w:tr w:rsidR="00D819DC" w14:paraId="62ED333D" w14:textId="77777777">
        <w:tc>
          <w:tcPr>
            <w:tcW w:w="0" w:type="auto"/>
          </w:tcPr>
          <w:p w14:paraId="6E0579D7" w14:textId="77777777" w:rsidR="00D819DC" w:rsidRDefault="00000000">
            <w:pPr>
              <w:pStyle w:val="Compact"/>
            </w:pPr>
            <w:r>
              <w:t>Equity</w:t>
            </w:r>
          </w:p>
        </w:tc>
        <w:tc>
          <w:tcPr>
            <w:tcW w:w="0" w:type="auto"/>
          </w:tcPr>
          <w:p w14:paraId="6320230A" w14:textId="77777777" w:rsidR="00D819DC" w:rsidRDefault="00000000">
            <w:pPr>
              <w:pStyle w:val="Compact"/>
            </w:pPr>
            <w:r>
              <w:t>20.0%</w:t>
            </w:r>
          </w:p>
        </w:tc>
      </w:tr>
      <w:tr w:rsidR="00D819DC" w14:paraId="33B9740C" w14:textId="77777777">
        <w:tc>
          <w:tcPr>
            <w:tcW w:w="0" w:type="auto"/>
          </w:tcPr>
          <w:p w14:paraId="40D3879F" w14:textId="77777777" w:rsidR="00D819DC" w:rsidRDefault="00000000">
            <w:pPr>
              <w:pStyle w:val="Compact"/>
            </w:pPr>
            <w:r>
              <w:t>Credit (Qualifying)</w:t>
            </w:r>
          </w:p>
        </w:tc>
        <w:tc>
          <w:tcPr>
            <w:tcW w:w="0" w:type="auto"/>
          </w:tcPr>
          <w:p w14:paraId="0E06BE26" w14:textId="77777777" w:rsidR="00D819DC" w:rsidRDefault="00000000">
            <w:pPr>
              <w:pStyle w:val="Compact"/>
            </w:pPr>
            <w:r>
              <w:t>10.0%</w:t>
            </w:r>
          </w:p>
        </w:tc>
      </w:tr>
      <w:tr w:rsidR="00D819DC" w14:paraId="02D53BE2" w14:textId="77777777">
        <w:tc>
          <w:tcPr>
            <w:tcW w:w="0" w:type="auto"/>
          </w:tcPr>
          <w:p w14:paraId="6CA5CBB2" w14:textId="77777777" w:rsidR="00D819DC" w:rsidRDefault="00000000">
            <w:pPr>
              <w:pStyle w:val="Compact"/>
            </w:pPr>
            <w:r>
              <w:t>Credit (Non-Qualifying)</w:t>
            </w:r>
          </w:p>
        </w:tc>
        <w:tc>
          <w:tcPr>
            <w:tcW w:w="0" w:type="auto"/>
          </w:tcPr>
          <w:p w14:paraId="2F84559D" w14:textId="77777777" w:rsidR="00D819DC" w:rsidRDefault="00000000">
            <w:pPr>
              <w:pStyle w:val="Compact"/>
            </w:pPr>
            <w:r>
              <w:t>30.0%</w:t>
            </w:r>
          </w:p>
        </w:tc>
      </w:tr>
      <w:tr w:rsidR="00D819DC" w14:paraId="43958BC2" w14:textId="77777777">
        <w:tc>
          <w:tcPr>
            <w:tcW w:w="0" w:type="auto"/>
          </w:tcPr>
          <w:p w14:paraId="49670A65" w14:textId="77777777" w:rsidR="00D819DC" w:rsidRDefault="00000000">
            <w:pPr>
              <w:pStyle w:val="Compact"/>
            </w:pPr>
            <w:r>
              <w:t>Commodity</w:t>
            </w:r>
          </w:p>
        </w:tc>
        <w:tc>
          <w:tcPr>
            <w:tcW w:w="0" w:type="auto"/>
          </w:tcPr>
          <w:p w14:paraId="11068E80" w14:textId="77777777" w:rsidR="00D819DC" w:rsidRDefault="00000000">
            <w:pPr>
              <w:pStyle w:val="Compact"/>
            </w:pPr>
            <w:r>
              <w:t>18.0%</w:t>
            </w:r>
          </w:p>
        </w:tc>
      </w:tr>
    </w:tbl>
    <w:p w14:paraId="5B1F6159" w14:textId="77777777" w:rsidR="00D819DC" w:rsidRDefault="00000000">
      <w:pPr>
        <w:pStyle w:val="Heading3"/>
      </w:pPr>
      <w:bookmarkStart w:id="13" w:name="check-2-subadditivity-bound"/>
      <w:bookmarkEnd w:id="12"/>
      <w:r>
        <w:t>Check 2: Subadditivity Bound</w:t>
      </w:r>
    </w:p>
    <w:p w14:paraId="5DE6854C" w14:textId="77777777" w:rsidR="00D819DC" w:rsidRDefault="00000000">
      <w:pPr>
        <w:pStyle w:val="FirstParagraph"/>
      </w:pPr>
      <w:r>
        <w:rPr>
          <w:b/>
          <w:bCs/>
        </w:rPr>
        <w:t>Assertion</w:t>
      </w:r>
      <w:r>
        <w:t>: Aggregated margin cannot exceed sum of absolute weighted sensitivities</w:t>
      </w:r>
    </w:p>
    <w:p w14:paraId="6F949903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</m:nary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1.01</m:t>
          </m:r>
        </m:oMath>
      </m:oMathPara>
    </w:p>
    <w:p w14:paraId="32BEF137" w14:textId="77777777" w:rsidR="00D819DC" w:rsidRDefault="00000000">
      <w:pPr>
        <w:pStyle w:val="FirstParagraph"/>
      </w:pPr>
      <w:r>
        <w:rPr>
          <w:b/>
          <w:bCs/>
        </w:rPr>
        <w:lastRenderedPageBreak/>
        <w:t>Mathematical Basis</w:t>
      </w:r>
      <w:r>
        <w:t>: SIMM aggregation satisfies subadditivity; numerical tolerance of 1% allowed.</w:t>
      </w:r>
    </w:p>
    <w:p w14:paraId="62389ED3" w14:textId="77777777" w:rsidR="00D819DC" w:rsidRDefault="00000000">
      <w:pPr>
        <w:pStyle w:val="Heading3"/>
      </w:pPr>
      <w:bookmarkStart w:id="14" w:name="check-3-delta-sign-consistency"/>
      <w:bookmarkEnd w:id="13"/>
      <w:r>
        <w:t>Check 3: Delta Sign Consistency</w:t>
      </w:r>
    </w:p>
    <w:p w14:paraId="3131E84F" w14:textId="77777777" w:rsidR="00D819DC" w:rsidRDefault="00000000">
      <w:pPr>
        <w:pStyle w:val="FirstParagraph"/>
      </w:pPr>
      <w:r>
        <w:rPr>
          <w:b/>
          <w:bCs/>
        </w:rPr>
        <w:t>IRS Example</w:t>
      </w:r>
      <w:r>
        <w:t>: - Pay Fixed: PV01 should be negative (rates up → value down) - Receive Fixed: PV01 should be positive</w:t>
      </w:r>
    </w:p>
    <w:p w14:paraId="62A9E880" w14:textId="77777777" w:rsidR="00D819DC" w:rsidRDefault="00000000">
      <w:r>
        <w:pict w14:anchorId="68E8AE84">
          <v:rect id="_x0000_i1027" style="width:0;height:1.5pt" o:hralign="center" o:hrstd="t" o:hr="t"/>
        </w:pict>
      </w:r>
    </w:p>
    <w:p w14:paraId="2B49737B" w14:textId="77777777" w:rsidR="00D819DC" w:rsidRDefault="00000000">
      <w:pPr>
        <w:pStyle w:val="Heading1"/>
      </w:pPr>
      <w:bookmarkStart w:id="15" w:name="tier-2-vanilla-option-challenge"/>
      <w:bookmarkEnd w:id="5"/>
      <w:bookmarkEnd w:id="11"/>
      <w:bookmarkEnd w:id="14"/>
      <w:r>
        <w:t>3. Tier 2: Vanilla Option Challenge</w:t>
      </w:r>
    </w:p>
    <w:p w14:paraId="3BE00EA0" w14:textId="77777777" w:rsidR="00D819DC" w:rsidRDefault="00000000">
      <w:pPr>
        <w:pStyle w:val="Heading2"/>
      </w:pPr>
      <w:bookmarkStart w:id="16" w:name="scope-1"/>
      <w:r>
        <w:t>3.1 Scope</w:t>
      </w:r>
    </w:p>
    <w:p w14:paraId="1D9DDAE8" w14:textId="77777777" w:rsidR="00D819DC" w:rsidRDefault="00000000">
      <w:pPr>
        <w:pStyle w:val="FirstParagraph"/>
      </w:pPr>
      <w:r>
        <w:rPr>
          <w:b/>
          <w:bCs/>
        </w:rPr>
        <w:t>Applicable Products</w:t>
      </w:r>
      <w:r>
        <w:t>: Vanilla Option, Swaption, Gold Option, Time Option (Option Dated Forward)</w:t>
      </w:r>
    </w:p>
    <w:p w14:paraId="4BE3B465" w14:textId="77777777" w:rsidR="00D819DC" w:rsidRDefault="00000000">
      <w:pPr>
        <w:pStyle w:val="BodyText"/>
      </w:pPr>
      <w:r>
        <w:rPr>
          <w:b/>
          <w:bCs/>
        </w:rPr>
        <w:t>ISDA SIMM 2.8 References</w:t>
      </w:r>
      <w:r>
        <w:t>: - Section C.8: Curvature Risk - Section 11(a): Curvature for Vanilla Options</w:t>
      </w:r>
    </w:p>
    <w:p w14:paraId="798C76C8" w14:textId="77777777" w:rsidR="00D819DC" w:rsidRDefault="00000000">
      <w:pPr>
        <w:pStyle w:val="Heading3"/>
      </w:pPr>
      <w:bookmarkStart w:id="17" w:name="extended-vanilla-option-features"/>
      <w:r>
        <w:t>Extended Vanilla Option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8"/>
        <w:gridCol w:w="2509"/>
        <w:gridCol w:w="2769"/>
      </w:tblGrid>
      <w:tr w:rsidR="00D819DC" w14:paraId="0AA61C37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B5CCAC" w14:textId="77777777" w:rsidR="00D819DC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5799943" w14:textId="77777777" w:rsidR="00D819D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4F94A5A" w14:textId="77777777" w:rsidR="00D819DC" w:rsidRDefault="00000000">
            <w:pPr>
              <w:pStyle w:val="Compact"/>
            </w:pPr>
            <w:r>
              <w:t>Challenge Approach</w:t>
            </w:r>
          </w:p>
        </w:tc>
      </w:tr>
      <w:tr w:rsidR="00D819DC" w14:paraId="16E99438" w14:textId="77777777">
        <w:tc>
          <w:tcPr>
            <w:tcW w:w="0" w:type="auto"/>
          </w:tcPr>
          <w:p w14:paraId="21952254" w14:textId="77777777" w:rsidR="00D819DC" w:rsidRDefault="00000000">
            <w:pPr>
              <w:pStyle w:val="Compact"/>
            </w:pPr>
            <w:r>
              <w:t>European Style</w:t>
            </w:r>
          </w:p>
        </w:tc>
        <w:tc>
          <w:tcPr>
            <w:tcW w:w="0" w:type="auto"/>
          </w:tcPr>
          <w:p w14:paraId="7152BAC4" w14:textId="77777777" w:rsidR="00D819DC" w:rsidRDefault="00000000">
            <w:pPr>
              <w:pStyle w:val="Compact"/>
            </w:pPr>
            <w:r>
              <w:t>Standard vanilla</w:t>
            </w:r>
          </w:p>
        </w:tc>
        <w:tc>
          <w:tcPr>
            <w:tcW w:w="0" w:type="auto"/>
          </w:tcPr>
          <w:p w14:paraId="0DD3F1A2" w14:textId="77777777" w:rsidR="00D819DC" w:rsidRDefault="00000000">
            <w:pPr>
              <w:pStyle w:val="Compact"/>
            </w:pPr>
            <w:r>
              <w:t>Vega-Gamma check</w:t>
            </w:r>
          </w:p>
        </w:tc>
      </w:tr>
      <w:tr w:rsidR="00D819DC" w14:paraId="32FF49BF" w14:textId="77777777">
        <w:tc>
          <w:tcPr>
            <w:tcW w:w="0" w:type="auto"/>
          </w:tcPr>
          <w:p w14:paraId="19E7DCF2" w14:textId="77777777" w:rsidR="00D819DC" w:rsidRDefault="00000000">
            <w:pPr>
              <w:pStyle w:val="Compact"/>
            </w:pPr>
            <w:r>
              <w:t>Time Option</w:t>
            </w:r>
          </w:p>
        </w:tc>
        <w:tc>
          <w:tcPr>
            <w:tcW w:w="0" w:type="auto"/>
          </w:tcPr>
          <w:p w14:paraId="6F13F705" w14:textId="77777777" w:rsidR="00D819DC" w:rsidRDefault="00000000">
            <w:pPr>
              <w:pStyle w:val="Compact"/>
            </w:pPr>
            <w:r>
              <w:t>Option Dated Forward</w:t>
            </w:r>
          </w:p>
        </w:tc>
        <w:tc>
          <w:tcPr>
            <w:tcW w:w="0" w:type="auto"/>
          </w:tcPr>
          <w:p w14:paraId="6BF8631D" w14:textId="77777777" w:rsidR="00D819DC" w:rsidRDefault="00000000">
            <w:pPr>
              <w:pStyle w:val="Compact"/>
            </w:pPr>
            <w:r>
              <w:t>Forward-like delta check</w:t>
            </w:r>
          </w:p>
        </w:tc>
      </w:tr>
      <w:tr w:rsidR="00D819DC" w14:paraId="7B0275AE" w14:textId="77777777">
        <w:tc>
          <w:tcPr>
            <w:tcW w:w="0" w:type="auto"/>
          </w:tcPr>
          <w:p w14:paraId="06BCE1C2" w14:textId="77777777" w:rsidR="00D819DC" w:rsidRDefault="00000000">
            <w:pPr>
              <w:pStyle w:val="Compact"/>
            </w:pPr>
            <w:r>
              <w:t>Barrier Variants</w:t>
            </w:r>
          </w:p>
        </w:tc>
        <w:tc>
          <w:tcPr>
            <w:tcW w:w="0" w:type="auto"/>
          </w:tcPr>
          <w:p w14:paraId="172D79E4" w14:textId="77777777" w:rsidR="00D819DC" w:rsidRDefault="00000000">
            <w:pPr>
              <w:pStyle w:val="Compact"/>
            </w:pPr>
            <w:r>
              <w:t>Up/Down In/Out</w:t>
            </w:r>
          </w:p>
        </w:tc>
        <w:tc>
          <w:tcPr>
            <w:tcW w:w="0" w:type="auto"/>
          </w:tcPr>
          <w:p w14:paraId="46A9CBF6" w14:textId="77777777" w:rsidR="00D819DC" w:rsidRDefault="00000000">
            <w:pPr>
              <w:pStyle w:val="Compact"/>
            </w:pPr>
            <w:r>
              <w:t>Barrier distance check</w:t>
            </w:r>
          </w:p>
        </w:tc>
      </w:tr>
      <w:tr w:rsidR="00D819DC" w14:paraId="23E6A96D" w14:textId="77777777">
        <w:tc>
          <w:tcPr>
            <w:tcW w:w="0" w:type="auto"/>
          </w:tcPr>
          <w:p w14:paraId="286981D5" w14:textId="77777777" w:rsidR="00D819DC" w:rsidRDefault="00000000">
            <w:pPr>
              <w:pStyle w:val="Compact"/>
            </w:pPr>
            <w:r>
              <w:t>Payout Currency</w:t>
            </w:r>
          </w:p>
        </w:tc>
        <w:tc>
          <w:tcPr>
            <w:tcW w:w="0" w:type="auto"/>
          </w:tcPr>
          <w:p w14:paraId="72A69853" w14:textId="77777777" w:rsidR="00D819DC" w:rsidRDefault="00000000">
            <w:pPr>
              <w:pStyle w:val="Compact"/>
            </w:pPr>
            <w:r>
              <w:t>Domestic/Foreign</w:t>
            </w:r>
          </w:p>
        </w:tc>
        <w:tc>
          <w:tcPr>
            <w:tcW w:w="0" w:type="auto"/>
          </w:tcPr>
          <w:p w14:paraId="7C2EA115" w14:textId="77777777" w:rsidR="00D819DC" w:rsidRDefault="00000000">
            <w:pPr>
              <w:pStyle w:val="Compact"/>
            </w:pPr>
            <w:r>
              <w:t>FX delta adjustment</w:t>
            </w:r>
          </w:p>
        </w:tc>
      </w:tr>
    </w:tbl>
    <w:p w14:paraId="62FE8BBE" w14:textId="77777777" w:rsidR="00D819DC" w:rsidRDefault="00000000">
      <w:pPr>
        <w:pStyle w:val="Heading2"/>
      </w:pPr>
      <w:bookmarkStart w:id="18" w:name="official-simm-2.8-curvature-formula"/>
      <w:bookmarkEnd w:id="16"/>
      <w:bookmarkEnd w:id="17"/>
      <w:r>
        <w:t>3.2 Official SIMM 2.8 Curvature Formula</w:t>
      </w:r>
    </w:p>
    <w:p w14:paraId="5A43ED5C" w14:textId="77777777" w:rsidR="00D819DC" w:rsidRDefault="00000000">
      <w:pPr>
        <w:pStyle w:val="Heading3"/>
      </w:pPr>
      <w:bookmarkStart w:id="19" w:name="curvature-risk-charge"/>
      <w:r>
        <w:t>Curvature Risk Charge</w:t>
      </w:r>
    </w:p>
    <w:p w14:paraId="7AF5CD7E" w14:textId="77777777" w:rsidR="00D819DC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S</m:t>
              </m:r>
            </m:e>
          </m:nary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42D94A44" w14:textId="77777777" w:rsidR="00D819DC" w:rsidRDefault="00000000">
      <w:pPr>
        <w:pStyle w:val="FirstParagraph"/>
      </w:pPr>
      <w:r>
        <w:t xml:space="preserve">Where: - </w:t>
      </w:r>
      <m:oMath>
        <m:r>
          <w:rPr>
            <w:rFonts w:ascii="Cambria Math" w:hAnsi="Cambria Math"/>
          </w:rPr>
          <m:t>CV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</m:oMath>
      <w:r>
        <w:t xml:space="preserve"> = Curvature Risk for instrument </w:t>
      </w:r>
      <m:oMath>
        <m:r>
          <w:rPr>
            <w:rFonts w:ascii="Cambria Math" w:hAnsi="Cambria Math"/>
          </w:rPr>
          <m:t>i</m:t>
        </m:r>
      </m:oMath>
      <w:r>
        <w:t xml:space="preserve"> in bucket </w:t>
      </w:r>
      <m:oMath>
        <m:r>
          <w:rPr>
            <w:rFonts w:ascii="Cambria Math" w:hAnsi="Cambria Math"/>
          </w:rPr>
          <m:t>k</m:t>
        </m:r>
      </m:oMath>
      <w:r>
        <w:t xml:space="preserve"> - </w:t>
      </w:r>
      <m:oMath>
        <m:r>
          <w:rPr>
            <w:rFonts w:ascii="Cambria Math" w:hAnsi="Cambria Math"/>
          </w:rPr>
          <m:t>SF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Scaling Function - </w:t>
      </w:r>
      <m:oMath>
        <m:r>
          <w:rPr>
            <w:rFonts w:ascii="Cambria Math" w:hAnsi="Cambria Math"/>
          </w:rPr>
          <m:t>σ</m:t>
        </m:r>
      </m:oMath>
      <w:r>
        <w:t xml:space="preserve"> = Implied Volatility -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σ</m:t>
            </m:r>
          </m:den>
        </m:f>
      </m:oMath>
      <w:r>
        <w:t xml:space="preserve"> = Vega</w:t>
      </w:r>
    </w:p>
    <w:p w14:paraId="2502F755" w14:textId="77777777" w:rsidR="00D819DC" w:rsidRDefault="00000000">
      <w:pPr>
        <w:pStyle w:val="Heading3"/>
      </w:pPr>
      <w:bookmarkStart w:id="20" w:name="scaling-function"/>
      <w:bookmarkEnd w:id="19"/>
      <w:r>
        <w:t>Scaling Function</w:t>
      </w:r>
    </w:p>
    <w:p w14:paraId="7DD74F8B" w14:textId="77777777" w:rsidR="00D819DC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</m:oMath>
      </m:oMathPara>
    </w:p>
    <w:p w14:paraId="48137544" w14:textId="77777777" w:rsidR="00D819DC" w:rsidRDefault="00000000">
      <w:pPr>
        <w:pStyle w:val="FirstParagraph"/>
      </w:pPr>
      <w:r>
        <w:t xml:space="preserve">Where: - </w:t>
      </w:r>
      <m:oMath>
        <m:r>
          <w:rPr>
            <w:rFonts w:ascii="Cambria Math" w:hAnsi="Cambria Math"/>
          </w:rPr>
          <m:t>t</m:t>
        </m:r>
      </m:oMath>
      <w:r>
        <w:t xml:space="preserve"> = Time to maturity in days -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14</m:t>
        </m:r>
      </m:oMath>
      <w:r>
        <w:t xml:space="preserve"> days: </w:t>
      </w:r>
      <m:oMath>
        <m:r>
          <w:rPr>
            <w:rFonts w:ascii="Cambria Math" w:hAnsi="Cambria Math"/>
          </w:rPr>
          <m:t>SF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-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14</m:t>
        </m:r>
      </m:oMath>
      <w:r>
        <w:t xml:space="preserve"> days: </w:t>
      </w:r>
      <m:oMath>
        <m:r>
          <w:rPr>
            <w:rFonts w:ascii="Cambria Math" w:hAnsi="Cambria Math"/>
          </w:rPr>
          <m:t>SF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0.5</m:t>
        </m:r>
      </m:oMath>
    </w:p>
    <w:p w14:paraId="2D868F97" w14:textId="77777777" w:rsidR="00D819DC" w:rsidRDefault="00000000">
      <w:pPr>
        <w:pStyle w:val="Heading2"/>
      </w:pPr>
      <w:bookmarkStart w:id="21" w:name="challenge-verification-points-1"/>
      <w:bookmarkEnd w:id="18"/>
      <w:bookmarkEnd w:id="20"/>
      <w:r>
        <w:lastRenderedPageBreak/>
        <w:t>3.3 Challenge Verification Points</w:t>
      </w:r>
    </w:p>
    <w:p w14:paraId="1E3F5E30" w14:textId="77777777" w:rsidR="00D819DC" w:rsidRDefault="00000000">
      <w:pPr>
        <w:pStyle w:val="Heading3"/>
      </w:pPr>
      <w:bookmarkStart w:id="22" w:name="check-1-scaling-function-accuracy"/>
      <w:r>
        <w:t>Check 1: Scaling Function Accuracy</w:t>
      </w:r>
    </w:p>
    <w:p w14:paraId="000D121C" w14:textId="77777777" w:rsidR="00D819DC" w:rsidRDefault="00000000">
      <w:pPr>
        <w:pStyle w:val="FirstParagraph"/>
      </w:pPr>
      <w:r>
        <w:rPr>
          <w:b/>
          <w:bCs/>
        </w:rPr>
        <w:t>Assertion</w:t>
      </w:r>
      <w:r>
        <w:t xml:space="preserve">: Applied </w:t>
      </w:r>
      <m:oMath>
        <m:r>
          <w:rPr>
            <w:rFonts w:ascii="Cambria Math" w:hAnsi="Cambria Math"/>
          </w:rPr>
          <m:t>SF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match formula</w:t>
      </w:r>
    </w:p>
    <w:p w14:paraId="107C7845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applied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formula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|≤</m:t>
          </m:r>
          <m:r>
            <w:rPr>
              <w:rFonts w:ascii="Cambria Math" w:hAnsi="Cambria Math"/>
            </w:rPr>
            <m:t>0.01</m:t>
          </m:r>
        </m:oMath>
      </m:oMathPara>
    </w:p>
    <w:p w14:paraId="121E961C" w14:textId="77777777" w:rsidR="00D819DC" w:rsidRDefault="00000000">
      <w:pPr>
        <w:pStyle w:val="FirstParagraph"/>
      </w:pPr>
      <w:r>
        <w:rPr>
          <w:b/>
          <w:bCs/>
        </w:rPr>
        <w:t>Example Calculation</w:t>
      </w:r>
      <w:r>
        <w:t>:</w:t>
      </w:r>
    </w:p>
    <w:p w14:paraId="3A71634B" w14:textId="77777777" w:rsidR="00D819DC" w:rsidRDefault="00000000">
      <w:pPr>
        <w:pStyle w:val="BodyText"/>
      </w:pPr>
      <w:r>
        <w:t>For 7-day option:</w:t>
      </w:r>
    </w:p>
    <w:p w14:paraId="2AFB0198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</m:oMath>
      </m:oMathPara>
    </w:p>
    <w:p w14:paraId="7A78E135" w14:textId="77777777" w:rsidR="00D819DC" w:rsidRDefault="00000000">
      <w:pPr>
        <w:pStyle w:val="FirstParagraph"/>
      </w:pPr>
      <w:r>
        <w:t>For 30-day option:</w:t>
      </w:r>
    </w:p>
    <w:p w14:paraId="0A64A8EA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</w:rPr>
                    <m:t>30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0.467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0.233</m:t>
          </m:r>
        </m:oMath>
      </m:oMathPara>
    </w:p>
    <w:p w14:paraId="52B0D9D2" w14:textId="77777777" w:rsidR="00D819DC" w:rsidRDefault="00000000">
      <w:pPr>
        <w:pStyle w:val="Heading3"/>
      </w:pPr>
      <w:bookmarkStart w:id="23" w:name="check-2-vega-gamma-relationship"/>
      <w:bookmarkEnd w:id="22"/>
      <w:r>
        <w:t>Check 2: Vega-Gamma Relationship</w:t>
      </w:r>
    </w:p>
    <w:p w14:paraId="65A12BB2" w14:textId="77777777" w:rsidR="00D819DC" w:rsidRDefault="00000000">
      <w:pPr>
        <w:pStyle w:val="FirstParagraph"/>
      </w:pPr>
      <w:r>
        <w:rPr>
          <w:b/>
          <w:bCs/>
        </w:rPr>
        <w:t>Theoretical Relationship</w:t>
      </w:r>
      <w:r>
        <w:t xml:space="preserve"> (for vanilla options):</w:t>
      </w:r>
    </w:p>
    <w:p w14:paraId="731646C5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Γ≈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Vega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rad>
            </m:den>
          </m:f>
        </m:oMath>
      </m:oMathPara>
    </w:p>
    <w:p w14:paraId="38A5DE1D" w14:textId="77777777" w:rsidR="00D819DC" w:rsidRDefault="00000000">
      <w:pPr>
        <w:pStyle w:val="FirstParagraph"/>
      </w:pPr>
      <w:r>
        <w:rPr>
          <w:b/>
          <w:bCs/>
        </w:rPr>
        <w:t>Challenge Assertion</w:t>
      </w:r>
      <w:r>
        <w:t>:</w:t>
      </w:r>
    </w:p>
    <w:p w14:paraId="4E46E3C3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nor/>
                    </m:rPr>
                    <m:t>actual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nor/>
                    </m:rPr>
                    <m:t>theory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2.0</m:t>
          </m:r>
        </m:oMath>
      </m:oMathPara>
    </w:p>
    <w:p w14:paraId="109C98E4" w14:textId="77777777" w:rsidR="00D819DC" w:rsidRDefault="00000000">
      <w:pPr>
        <w:pStyle w:val="FirstParagraph"/>
      </w:pPr>
      <w:r>
        <w:t>Deviation indicates option characteristics diverge from vanilla assumptions.</w:t>
      </w:r>
    </w:p>
    <w:p w14:paraId="62A22FA1" w14:textId="77777777" w:rsidR="00D819DC" w:rsidRDefault="00000000">
      <w:pPr>
        <w:pStyle w:val="Heading3"/>
      </w:pPr>
      <w:bookmarkStart w:id="24" w:name="check-3-cvr-upper-bound"/>
      <w:bookmarkEnd w:id="23"/>
      <w:r>
        <w:t>Check 3: CVR Upper Bound</w:t>
      </w:r>
    </w:p>
    <w:p w14:paraId="030A144D" w14:textId="77777777" w:rsidR="00D819DC" w:rsidRDefault="00000000">
      <w:pPr>
        <w:pStyle w:val="FirstParagraph"/>
      </w:pPr>
      <w:r>
        <w:rPr>
          <w:b/>
          <w:bCs/>
        </w:rPr>
        <w:t>Assertion</w:t>
      </w:r>
      <w:r>
        <w:t>: Curvature Risk should not exceed reasonable multiples of notional</w:t>
      </w:r>
    </w:p>
    <w:p w14:paraId="34B97529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CVR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>
              <m:nor/>
            </m:rPr>
            <m:t>Notional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τ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</m:oMath>
      </m:oMathPara>
    </w:p>
    <w:p w14:paraId="49D07FA9" w14:textId="77777777" w:rsidR="00D819DC" w:rsidRDefault="00000000">
      <w:r>
        <w:pict w14:anchorId="417C002E">
          <v:rect id="_x0000_i1028" style="width:0;height:1.5pt" o:hralign="center" o:hrstd="t" o:hr="t"/>
        </w:pict>
      </w:r>
    </w:p>
    <w:p w14:paraId="5EBE5819" w14:textId="77777777" w:rsidR="00D819DC" w:rsidRDefault="00000000">
      <w:pPr>
        <w:pStyle w:val="Heading1"/>
      </w:pPr>
      <w:bookmarkStart w:id="25" w:name="tier-3-credit-product-challenge"/>
      <w:bookmarkEnd w:id="15"/>
      <w:bookmarkEnd w:id="21"/>
      <w:bookmarkEnd w:id="24"/>
      <w:r>
        <w:t>4. Tier 3: Credit Product Challenge</w:t>
      </w:r>
    </w:p>
    <w:p w14:paraId="4746B1E4" w14:textId="77777777" w:rsidR="00D819DC" w:rsidRDefault="00000000">
      <w:pPr>
        <w:pStyle w:val="Heading2"/>
      </w:pPr>
      <w:bookmarkStart w:id="26" w:name="scope-2"/>
      <w:r>
        <w:t>4.1 Scope</w:t>
      </w:r>
    </w:p>
    <w:p w14:paraId="7E234680" w14:textId="77777777" w:rsidR="00D819DC" w:rsidRDefault="00000000">
      <w:pPr>
        <w:pStyle w:val="FirstParagraph"/>
      </w:pPr>
      <w:r>
        <w:rPr>
          <w:b/>
          <w:bCs/>
        </w:rPr>
        <w:t>Applicable Products</w:t>
      </w:r>
      <w:r>
        <w:t>: CDS, CDS Index</w:t>
      </w:r>
    </w:p>
    <w:p w14:paraId="2A549210" w14:textId="77777777" w:rsidR="00D819DC" w:rsidRDefault="00000000">
      <w:pPr>
        <w:pStyle w:val="BodyText"/>
      </w:pPr>
      <w:r>
        <w:rPr>
          <w:b/>
          <w:bCs/>
        </w:rPr>
        <w:t>ISDA SIMM 2.8 References</w:t>
      </w:r>
      <w:r>
        <w:t>: - Section C.3: Credit Spread Risk - Table 2: Credit Quality Classification</w:t>
      </w:r>
    </w:p>
    <w:p w14:paraId="09744981" w14:textId="77777777" w:rsidR="00D819DC" w:rsidRDefault="00000000">
      <w:pPr>
        <w:pStyle w:val="Heading2"/>
      </w:pPr>
      <w:bookmarkStart w:id="27" w:name="official-simm-2.8-credit-classification"/>
      <w:bookmarkEnd w:id="26"/>
      <w:r>
        <w:lastRenderedPageBreak/>
        <w:t>4.2 Official SIMM 2.8 Credit Classification</w:t>
      </w:r>
    </w:p>
    <w:p w14:paraId="4D349D99" w14:textId="77777777" w:rsidR="00D819DC" w:rsidRDefault="00000000">
      <w:pPr>
        <w:pStyle w:val="Heading3"/>
      </w:pPr>
      <w:bookmarkStart w:id="28" w:name="credit-quality-mapping"/>
      <w:r>
        <w:t>Credit Quality Mapping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3"/>
        <w:gridCol w:w="2265"/>
        <w:gridCol w:w="1425"/>
      </w:tblGrid>
      <w:tr w:rsidR="00D819DC" w14:paraId="69D60289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8ED836" w14:textId="77777777" w:rsidR="00D819DC" w:rsidRDefault="00000000">
            <w:pPr>
              <w:pStyle w:val="Compact"/>
            </w:pPr>
            <w:r>
              <w:t>Rating</w:t>
            </w:r>
          </w:p>
        </w:tc>
        <w:tc>
          <w:tcPr>
            <w:tcW w:w="0" w:type="auto"/>
          </w:tcPr>
          <w:p w14:paraId="61098374" w14:textId="77777777" w:rsidR="00D819DC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</w:tcPr>
          <w:p w14:paraId="4504F273" w14:textId="77777777" w:rsidR="00D819DC" w:rsidRDefault="00000000">
            <w:pPr>
              <w:pStyle w:val="Compact"/>
            </w:pPr>
            <w:r>
              <w:t>Risk Weight</w:t>
            </w:r>
          </w:p>
        </w:tc>
      </w:tr>
      <w:tr w:rsidR="00D819DC" w14:paraId="37236015" w14:textId="77777777">
        <w:tc>
          <w:tcPr>
            <w:tcW w:w="0" w:type="auto"/>
          </w:tcPr>
          <w:p w14:paraId="522C3D07" w14:textId="77777777" w:rsidR="00D819DC" w:rsidRDefault="00000000">
            <w:pPr>
              <w:pStyle w:val="Compact"/>
            </w:pPr>
            <w:r>
              <w:t>AAA</w:t>
            </w:r>
          </w:p>
        </w:tc>
        <w:tc>
          <w:tcPr>
            <w:tcW w:w="0" w:type="auto"/>
          </w:tcPr>
          <w:p w14:paraId="062E07AB" w14:textId="77777777" w:rsidR="00D819DC" w:rsidRDefault="00000000">
            <w:pPr>
              <w:pStyle w:val="Compact"/>
            </w:pPr>
            <w:r>
              <w:t>IG (Qualifying)</w:t>
            </w:r>
          </w:p>
        </w:tc>
        <w:tc>
          <w:tcPr>
            <w:tcW w:w="0" w:type="auto"/>
          </w:tcPr>
          <w:p w14:paraId="2EE8E198" w14:textId="77777777" w:rsidR="00D819DC" w:rsidRDefault="00000000">
            <w:pPr>
              <w:pStyle w:val="Compact"/>
            </w:pPr>
            <w:r>
              <w:t>10%</w:t>
            </w:r>
          </w:p>
        </w:tc>
      </w:tr>
      <w:tr w:rsidR="00D819DC" w14:paraId="4362D8E8" w14:textId="77777777">
        <w:tc>
          <w:tcPr>
            <w:tcW w:w="0" w:type="auto"/>
          </w:tcPr>
          <w:p w14:paraId="6329D3A1" w14:textId="77777777" w:rsidR="00D819DC" w:rsidRDefault="00000000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14:paraId="56A8A4B3" w14:textId="77777777" w:rsidR="00D819DC" w:rsidRDefault="00000000">
            <w:pPr>
              <w:pStyle w:val="Compact"/>
            </w:pPr>
            <w:r>
              <w:t>IG (Qualifying)</w:t>
            </w:r>
          </w:p>
        </w:tc>
        <w:tc>
          <w:tcPr>
            <w:tcW w:w="0" w:type="auto"/>
          </w:tcPr>
          <w:p w14:paraId="1EC33F5F" w14:textId="77777777" w:rsidR="00D819DC" w:rsidRDefault="00000000">
            <w:pPr>
              <w:pStyle w:val="Compact"/>
            </w:pPr>
            <w:r>
              <w:t>10%</w:t>
            </w:r>
          </w:p>
        </w:tc>
      </w:tr>
      <w:tr w:rsidR="00D819DC" w14:paraId="08A8D067" w14:textId="77777777">
        <w:tc>
          <w:tcPr>
            <w:tcW w:w="0" w:type="auto"/>
          </w:tcPr>
          <w:p w14:paraId="42281B5E" w14:textId="77777777" w:rsidR="00D819DC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17AEABE2" w14:textId="77777777" w:rsidR="00D819DC" w:rsidRDefault="00000000">
            <w:pPr>
              <w:pStyle w:val="Compact"/>
            </w:pPr>
            <w:r>
              <w:t>IG (Qualifying)</w:t>
            </w:r>
          </w:p>
        </w:tc>
        <w:tc>
          <w:tcPr>
            <w:tcW w:w="0" w:type="auto"/>
          </w:tcPr>
          <w:p w14:paraId="2304C290" w14:textId="77777777" w:rsidR="00D819DC" w:rsidRDefault="00000000">
            <w:pPr>
              <w:pStyle w:val="Compact"/>
            </w:pPr>
            <w:r>
              <w:t>10%</w:t>
            </w:r>
          </w:p>
        </w:tc>
      </w:tr>
      <w:tr w:rsidR="00D819DC" w14:paraId="32D6D791" w14:textId="77777777">
        <w:tc>
          <w:tcPr>
            <w:tcW w:w="0" w:type="auto"/>
          </w:tcPr>
          <w:p w14:paraId="4F4FBAD6" w14:textId="77777777" w:rsidR="00D819DC" w:rsidRDefault="00000000">
            <w:pPr>
              <w:pStyle w:val="Compact"/>
            </w:pPr>
            <w:r>
              <w:t>BBB</w:t>
            </w:r>
          </w:p>
        </w:tc>
        <w:tc>
          <w:tcPr>
            <w:tcW w:w="0" w:type="auto"/>
          </w:tcPr>
          <w:p w14:paraId="40BF7F28" w14:textId="77777777" w:rsidR="00D819DC" w:rsidRDefault="00000000">
            <w:pPr>
              <w:pStyle w:val="Compact"/>
            </w:pPr>
            <w:r>
              <w:t>IG (Qualifying)</w:t>
            </w:r>
          </w:p>
        </w:tc>
        <w:tc>
          <w:tcPr>
            <w:tcW w:w="0" w:type="auto"/>
          </w:tcPr>
          <w:p w14:paraId="0D7DEC17" w14:textId="77777777" w:rsidR="00D819DC" w:rsidRDefault="00000000">
            <w:pPr>
              <w:pStyle w:val="Compact"/>
            </w:pPr>
            <w:r>
              <w:t>10%</w:t>
            </w:r>
          </w:p>
        </w:tc>
      </w:tr>
      <w:tr w:rsidR="00D819DC" w14:paraId="27AC1F0B" w14:textId="77777777">
        <w:tc>
          <w:tcPr>
            <w:tcW w:w="0" w:type="auto"/>
          </w:tcPr>
          <w:p w14:paraId="7718ABC4" w14:textId="77777777" w:rsidR="00D819DC" w:rsidRDefault="00000000">
            <w:pPr>
              <w:pStyle w:val="Compact"/>
            </w:pPr>
            <w:r>
              <w:t>BB</w:t>
            </w:r>
          </w:p>
        </w:tc>
        <w:tc>
          <w:tcPr>
            <w:tcW w:w="0" w:type="auto"/>
          </w:tcPr>
          <w:p w14:paraId="08827318" w14:textId="77777777" w:rsidR="00D819DC" w:rsidRDefault="00000000">
            <w:pPr>
              <w:pStyle w:val="Compact"/>
            </w:pPr>
            <w:r>
              <w:t>HY (Non-Qualifying)</w:t>
            </w:r>
          </w:p>
        </w:tc>
        <w:tc>
          <w:tcPr>
            <w:tcW w:w="0" w:type="auto"/>
          </w:tcPr>
          <w:p w14:paraId="0F8620FC" w14:textId="77777777" w:rsidR="00D819DC" w:rsidRDefault="00000000">
            <w:pPr>
              <w:pStyle w:val="Compact"/>
            </w:pPr>
            <w:r>
              <w:t>30%</w:t>
            </w:r>
          </w:p>
        </w:tc>
      </w:tr>
      <w:tr w:rsidR="00D819DC" w14:paraId="7A108927" w14:textId="77777777">
        <w:tc>
          <w:tcPr>
            <w:tcW w:w="0" w:type="auto"/>
          </w:tcPr>
          <w:p w14:paraId="112FA504" w14:textId="77777777" w:rsidR="00D819DC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6BDA50E2" w14:textId="77777777" w:rsidR="00D819DC" w:rsidRDefault="00000000">
            <w:pPr>
              <w:pStyle w:val="Compact"/>
            </w:pPr>
            <w:r>
              <w:t>HY (Non-Qualifying)</w:t>
            </w:r>
          </w:p>
        </w:tc>
        <w:tc>
          <w:tcPr>
            <w:tcW w:w="0" w:type="auto"/>
          </w:tcPr>
          <w:p w14:paraId="315DE46A" w14:textId="77777777" w:rsidR="00D819DC" w:rsidRDefault="00000000">
            <w:pPr>
              <w:pStyle w:val="Compact"/>
            </w:pPr>
            <w:r>
              <w:t>30%</w:t>
            </w:r>
          </w:p>
        </w:tc>
      </w:tr>
      <w:tr w:rsidR="00D819DC" w14:paraId="61CA06DD" w14:textId="77777777">
        <w:tc>
          <w:tcPr>
            <w:tcW w:w="0" w:type="auto"/>
          </w:tcPr>
          <w:p w14:paraId="676A846B" w14:textId="77777777" w:rsidR="00D819DC" w:rsidRDefault="00000000">
            <w:pPr>
              <w:pStyle w:val="Compact"/>
            </w:pPr>
            <w:r>
              <w:t>CCC</w:t>
            </w:r>
          </w:p>
        </w:tc>
        <w:tc>
          <w:tcPr>
            <w:tcW w:w="0" w:type="auto"/>
          </w:tcPr>
          <w:p w14:paraId="7C66E265" w14:textId="77777777" w:rsidR="00D819DC" w:rsidRDefault="00000000">
            <w:pPr>
              <w:pStyle w:val="Compact"/>
            </w:pPr>
            <w:r>
              <w:t>HY (Non-Qualifying)</w:t>
            </w:r>
          </w:p>
        </w:tc>
        <w:tc>
          <w:tcPr>
            <w:tcW w:w="0" w:type="auto"/>
          </w:tcPr>
          <w:p w14:paraId="1208419E" w14:textId="77777777" w:rsidR="00D819DC" w:rsidRDefault="00000000">
            <w:pPr>
              <w:pStyle w:val="Compact"/>
            </w:pPr>
            <w:r>
              <w:t>30%</w:t>
            </w:r>
          </w:p>
        </w:tc>
      </w:tr>
    </w:tbl>
    <w:p w14:paraId="1E763C88" w14:textId="77777777" w:rsidR="00D819DC" w:rsidRDefault="00000000">
      <w:pPr>
        <w:pStyle w:val="BodyText"/>
      </w:pPr>
      <w:r>
        <w:rPr>
          <w:b/>
          <w:bCs/>
        </w:rPr>
        <w:t>Key Relationship</w:t>
      </w:r>
      <w:r>
        <w:t>:</w:t>
      </w:r>
    </w:p>
    <w:p w14:paraId="38FCE4A1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IG</m:t>
              </m:r>
            </m:sub>
          </m:sSub>
        </m:oMath>
      </m:oMathPara>
    </w:p>
    <w:p w14:paraId="58DBC94E" w14:textId="77777777" w:rsidR="00D819DC" w:rsidRDefault="00000000">
      <w:pPr>
        <w:pStyle w:val="Heading3"/>
      </w:pPr>
      <w:bookmarkStart w:id="29" w:name="jump-to-default-risk"/>
      <w:bookmarkEnd w:id="28"/>
      <w:r>
        <w:t>Jump-to-Default Risk</w:t>
      </w:r>
    </w:p>
    <w:p w14:paraId="02C6A6DB" w14:textId="77777777" w:rsidR="00D819DC" w:rsidRDefault="00000000">
      <w:pPr>
        <w:pStyle w:val="FirstParagraph"/>
      </w:pPr>
      <w:r>
        <w:t>For distressed credits (CCC, CC, C):</w:t>
      </w:r>
    </w:p>
    <w:p w14:paraId="19FBDA28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JTD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Notional</m:t>
          </m:r>
          <m:r>
            <m:rPr>
              <m:sty m:val="p"/>
            </m:rPr>
            <w:rPr>
              <w:rFonts w:ascii="Cambria Math" w:hAnsi="Cambria Math"/>
            </w:rPr>
            <m:t>×(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r>
            <w:rPr>
              <w:rFonts w:ascii="Cambria Math" w:hAnsi="Cambria Math"/>
            </w:rPr>
            <m:t>PD</m:t>
          </m:r>
        </m:oMath>
      </m:oMathPara>
    </w:p>
    <w:p w14:paraId="6DECE5A8" w14:textId="77777777" w:rsidR="00D819DC" w:rsidRDefault="00000000">
      <w:pPr>
        <w:pStyle w:val="FirstParagraph"/>
      </w:pPr>
      <w:r>
        <w:t xml:space="preserve">Where: - </w:t>
      </w:r>
      <m:oMath>
        <m:r>
          <w:rPr>
            <w:rFonts w:ascii="Cambria Math" w:hAnsi="Cambria Math"/>
          </w:rPr>
          <m:t>R</m:t>
        </m:r>
      </m:oMath>
      <w:r>
        <w:t xml:space="preserve"> = Recovery Rate (standard: 40%) - </w:t>
      </w:r>
      <m:oMath>
        <m:r>
          <w:rPr>
            <w:rFonts w:ascii="Cambria Math" w:hAnsi="Cambria Math"/>
          </w:rPr>
          <m:t>PD</m:t>
        </m:r>
      </m:oMath>
      <w:r>
        <w:t xml:space="preserve"> = Probability of Default</w:t>
      </w:r>
    </w:p>
    <w:p w14:paraId="3433468F" w14:textId="77777777" w:rsidR="00D819DC" w:rsidRDefault="00000000">
      <w:pPr>
        <w:pStyle w:val="Heading2"/>
      </w:pPr>
      <w:bookmarkStart w:id="30" w:name="challenge-verification-points-2"/>
      <w:bookmarkEnd w:id="27"/>
      <w:bookmarkEnd w:id="29"/>
      <w:r>
        <w:t>4.3 Challenge Verification Points</w:t>
      </w:r>
    </w:p>
    <w:p w14:paraId="2E269E69" w14:textId="77777777" w:rsidR="00D819DC" w:rsidRDefault="00000000">
      <w:pPr>
        <w:pStyle w:val="Heading3"/>
      </w:pPr>
      <w:bookmarkStart w:id="31" w:name="check-1-crqcrnq-classification"/>
      <w:r>
        <w:t>Check 1: CRQ/CRNQ Classification</w:t>
      </w:r>
    </w:p>
    <w:p w14:paraId="1A980068" w14:textId="77777777" w:rsidR="00D819DC" w:rsidRDefault="00000000">
      <w:pPr>
        <w:pStyle w:val="FirstParagraph"/>
      </w:pPr>
      <w:r>
        <w:rPr>
          <w:b/>
          <w:bCs/>
        </w:rPr>
        <w:t>Assertion</w:t>
      </w:r>
      <w:r>
        <w:t>: Rating must correctly map to Qualifying/Non-Qualifying</w:t>
      </w:r>
    </w:p>
    <w:p w14:paraId="54545C96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Expected Class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CRQ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Rating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AAA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BBB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CRNQ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Rating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BB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mr>
              </m:m>
            </m:e>
          </m:d>
        </m:oMath>
      </m:oMathPara>
    </w:p>
    <w:p w14:paraId="4370D948" w14:textId="77777777" w:rsidR="00D819DC" w:rsidRDefault="00000000">
      <w:pPr>
        <w:pStyle w:val="Heading3"/>
      </w:pPr>
      <w:bookmarkStart w:id="32" w:name="check-2-risk-weight-ratio"/>
      <w:bookmarkEnd w:id="31"/>
      <w:r>
        <w:t>Check 2: Risk Weight Ratio</w:t>
      </w:r>
    </w:p>
    <w:p w14:paraId="5B4C837C" w14:textId="77777777" w:rsidR="00D819DC" w:rsidRDefault="00000000">
      <w:pPr>
        <w:pStyle w:val="FirstParagraph"/>
      </w:pPr>
      <w:r>
        <w:rPr>
          <w:b/>
          <w:bCs/>
        </w:rPr>
        <w:t>Assertion</w:t>
      </w:r>
      <w:r>
        <w:t>: HY Risk Weight must be exactly 3× IG Risk Weight</w:t>
      </w:r>
    </w:p>
    <w:p w14:paraId="215D0E35" w14:textId="77777777" w:rsidR="00D819DC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3.0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0.01</m:t>
          </m:r>
        </m:oMath>
      </m:oMathPara>
    </w:p>
    <w:p w14:paraId="09F6B8C9" w14:textId="77777777" w:rsidR="00D819DC" w:rsidRDefault="00000000">
      <w:pPr>
        <w:pStyle w:val="Heading3"/>
      </w:pPr>
      <w:bookmarkStart w:id="33" w:name="check-3-jtd-coverage-distressed-credits"/>
      <w:bookmarkEnd w:id="32"/>
      <w:r>
        <w:t>Check 3: JTD Coverage (Distressed Credits)</w:t>
      </w:r>
    </w:p>
    <w:p w14:paraId="591BACF7" w14:textId="77777777" w:rsidR="00D819DC" w:rsidRDefault="00000000">
      <w:pPr>
        <w:pStyle w:val="FirstParagraph"/>
      </w:pPr>
      <w:r>
        <w:t>For ratings CCC, CC, C:</w:t>
      </w:r>
    </w:p>
    <w:p w14:paraId="15C7778B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Margin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JTD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</m:oMath>
      </m:oMathPara>
    </w:p>
    <w:p w14:paraId="2041D3FC" w14:textId="77777777" w:rsidR="00D819DC" w:rsidRDefault="00000000">
      <w:pPr>
        <w:pStyle w:val="FirstParagraph"/>
      </w:pPr>
      <w:r>
        <w:t>If margin is insufficient to cover jump-to-default risk, flag as under-margined.</w:t>
      </w:r>
    </w:p>
    <w:p w14:paraId="186E1EC6" w14:textId="77777777" w:rsidR="00D819DC" w:rsidRDefault="00000000">
      <w:r>
        <w:lastRenderedPageBreak/>
        <w:pict w14:anchorId="4D1FB2B6">
          <v:rect id="_x0000_i1029" style="width:0;height:1.5pt" o:hralign="center" o:hrstd="t" o:hr="t"/>
        </w:pict>
      </w:r>
    </w:p>
    <w:p w14:paraId="539F5C8F" w14:textId="77777777" w:rsidR="00D819DC" w:rsidRDefault="00000000">
      <w:pPr>
        <w:pStyle w:val="Heading1"/>
      </w:pPr>
      <w:bookmarkStart w:id="34" w:name="tier-4-exotic-circuit-breaker"/>
      <w:bookmarkEnd w:id="25"/>
      <w:bookmarkEnd w:id="30"/>
      <w:bookmarkEnd w:id="33"/>
      <w:r>
        <w:t>5. Tier 4: Exotic Circuit Breaker</w:t>
      </w:r>
    </w:p>
    <w:p w14:paraId="23AEB07E" w14:textId="77777777" w:rsidR="00D819DC" w:rsidRDefault="00000000">
      <w:pPr>
        <w:pStyle w:val="Heading2"/>
      </w:pPr>
      <w:bookmarkStart w:id="35" w:name="scope-3"/>
      <w:r>
        <w:t>5.1 Scope</w:t>
      </w:r>
    </w:p>
    <w:p w14:paraId="7FB5A3BE" w14:textId="77777777" w:rsidR="00D819DC" w:rsidRDefault="00000000">
      <w:pPr>
        <w:pStyle w:val="FirstParagraph"/>
      </w:pPr>
      <w:r>
        <w:rPr>
          <w:b/>
          <w:bCs/>
        </w:rPr>
        <w:t>Applicable Products</w:t>
      </w:r>
      <w:r>
        <w:t>:</w:t>
      </w:r>
    </w:p>
    <w:p w14:paraId="7657A549" w14:textId="77777777" w:rsidR="00D819DC" w:rsidRDefault="00000000">
      <w:pPr>
        <w:pStyle w:val="Heading3"/>
      </w:pPr>
      <w:bookmarkStart w:id="36" w:name="barrier-options-extended"/>
      <w:r>
        <w:t>Barrier Options (Extended)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8"/>
        <w:gridCol w:w="776"/>
        <w:gridCol w:w="2535"/>
        <w:gridCol w:w="2110"/>
      </w:tblGrid>
      <w:tr w:rsidR="00D819DC" w14:paraId="12FBB1EF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6CC5B4" w14:textId="77777777" w:rsidR="00D819D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6E93853" w14:textId="77777777" w:rsidR="00D819DC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2C2288E4" w14:textId="77777777" w:rsidR="00D819D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3EA6A45" w14:textId="77777777" w:rsidR="00D819DC" w:rsidRDefault="00000000">
            <w:pPr>
              <w:pStyle w:val="Compact"/>
            </w:pPr>
            <w:r>
              <w:t>Pin Risk Threshold</w:t>
            </w:r>
          </w:p>
        </w:tc>
      </w:tr>
      <w:tr w:rsidR="00D819DC" w14:paraId="1C446FE1" w14:textId="77777777">
        <w:tc>
          <w:tcPr>
            <w:tcW w:w="0" w:type="auto"/>
          </w:tcPr>
          <w:p w14:paraId="5CE5E1A2" w14:textId="77777777" w:rsidR="00D819DC" w:rsidRDefault="00000000">
            <w:pPr>
              <w:pStyle w:val="Compact"/>
            </w:pPr>
            <w:r>
              <w:t>Knock Out</w:t>
            </w:r>
          </w:p>
        </w:tc>
        <w:tc>
          <w:tcPr>
            <w:tcW w:w="0" w:type="auto"/>
          </w:tcPr>
          <w:p w14:paraId="7A0DEC73" w14:textId="77777777" w:rsidR="00D819DC" w:rsidRDefault="00000000">
            <w:pPr>
              <w:pStyle w:val="Compact"/>
            </w:pPr>
            <w:r>
              <w:t>KO</w:t>
            </w:r>
          </w:p>
        </w:tc>
        <w:tc>
          <w:tcPr>
            <w:tcW w:w="0" w:type="auto"/>
          </w:tcPr>
          <w:p w14:paraId="0334E780" w14:textId="77777777" w:rsidR="00D819DC" w:rsidRDefault="00000000">
            <w:pPr>
              <w:pStyle w:val="Compact"/>
            </w:pPr>
            <w:r>
              <w:t>Standard knock out</w:t>
            </w:r>
          </w:p>
        </w:tc>
        <w:tc>
          <w:tcPr>
            <w:tcW w:w="0" w:type="auto"/>
          </w:tcPr>
          <w:p w14:paraId="1FA1C662" w14:textId="77777777" w:rsidR="00D819DC" w:rsidRDefault="00000000">
            <w:pPr>
              <w:pStyle w:val="Compact"/>
            </w:pPr>
            <w:r>
              <w:t>2%</w:t>
            </w:r>
          </w:p>
        </w:tc>
      </w:tr>
      <w:tr w:rsidR="00D819DC" w14:paraId="12CD655A" w14:textId="77777777">
        <w:tc>
          <w:tcPr>
            <w:tcW w:w="0" w:type="auto"/>
          </w:tcPr>
          <w:p w14:paraId="0884BFCB" w14:textId="77777777" w:rsidR="00D819DC" w:rsidRDefault="00000000">
            <w:pPr>
              <w:pStyle w:val="Compact"/>
            </w:pPr>
            <w:r>
              <w:t>Reverse KO</w:t>
            </w:r>
          </w:p>
        </w:tc>
        <w:tc>
          <w:tcPr>
            <w:tcW w:w="0" w:type="auto"/>
          </w:tcPr>
          <w:p w14:paraId="67BE72EF" w14:textId="77777777" w:rsidR="00D819DC" w:rsidRDefault="00000000">
            <w:pPr>
              <w:pStyle w:val="Compact"/>
            </w:pPr>
            <w:r>
              <w:t>RKO</w:t>
            </w:r>
          </w:p>
        </w:tc>
        <w:tc>
          <w:tcPr>
            <w:tcW w:w="0" w:type="auto"/>
          </w:tcPr>
          <w:p w14:paraId="104C30C4" w14:textId="77777777" w:rsidR="00D819DC" w:rsidRDefault="00000000">
            <w:pPr>
              <w:pStyle w:val="Compact"/>
            </w:pPr>
            <w:r>
              <w:t>Reverse barrier KO</w:t>
            </w:r>
          </w:p>
        </w:tc>
        <w:tc>
          <w:tcPr>
            <w:tcW w:w="0" w:type="auto"/>
          </w:tcPr>
          <w:p w14:paraId="55F77EEE" w14:textId="77777777" w:rsidR="00D819DC" w:rsidRDefault="00000000">
            <w:pPr>
              <w:pStyle w:val="Compact"/>
            </w:pPr>
            <w:r>
              <w:t>3%</w:t>
            </w:r>
          </w:p>
        </w:tc>
      </w:tr>
      <w:tr w:rsidR="00D819DC" w14:paraId="0A11774D" w14:textId="77777777">
        <w:tc>
          <w:tcPr>
            <w:tcW w:w="0" w:type="auto"/>
          </w:tcPr>
          <w:p w14:paraId="6CB5EEF5" w14:textId="77777777" w:rsidR="00D819DC" w:rsidRDefault="00000000">
            <w:pPr>
              <w:pStyle w:val="Compact"/>
            </w:pPr>
            <w:r>
              <w:t>Knock In</w:t>
            </w:r>
          </w:p>
        </w:tc>
        <w:tc>
          <w:tcPr>
            <w:tcW w:w="0" w:type="auto"/>
          </w:tcPr>
          <w:p w14:paraId="1A9D0EDD" w14:textId="77777777" w:rsidR="00D819DC" w:rsidRDefault="00000000">
            <w:pPr>
              <w:pStyle w:val="Compact"/>
            </w:pPr>
            <w:r>
              <w:t>KI</w:t>
            </w:r>
          </w:p>
        </w:tc>
        <w:tc>
          <w:tcPr>
            <w:tcW w:w="0" w:type="auto"/>
          </w:tcPr>
          <w:p w14:paraId="164FF075" w14:textId="77777777" w:rsidR="00D819DC" w:rsidRDefault="00000000">
            <w:pPr>
              <w:pStyle w:val="Compact"/>
            </w:pPr>
            <w:r>
              <w:t>Standard knock in</w:t>
            </w:r>
          </w:p>
        </w:tc>
        <w:tc>
          <w:tcPr>
            <w:tcW w:w="0" w:type="auto"/>
          </w:tcPr>
          <w:p w14:paraId="13C86683" w14:textId="77777777" w:rsidR="00D819DC" w:rsidRDefault="00000000">
            <w:pPr>
              <w:pStyle w:val="Compact"/>
            </w:pPr>
            <w:r>
              <w:t>2%</w:t>
            </w:r>
          </w:p>
        </w:tc>
      </w:tr>
      <w:tr w:rsidR="00D819DC" w14:paraId="769DB87B" w14:textId="77777777">
        <w:tc>
          <w:tcPr>
            <w:tcW w:w="0" w:type="auto"/>
          </w:tcPr>
          <w:p w14:paraId="5B1A71EE" w14:textId="77777777" w:rsidR="00D819DC" w:rsidRDefault="00000000">
            <w:pPr>
              <w:pStyle w:val="Compact"/>
            </w:pPr>
            <w:r>
              <w:t>Reverse KI</w:t>
            </w:r>
          </w:p>
        </w:tc>
        <w:tc>
          <w:tcPr>
            <w:tcW w:w="0" w:type="auto"/>
          </w:tcPr>
          <w:p w14:paraId="209190B4" w14:textId="77777777" w:rsidR="00D819DC" w:rsidRDefault="00000000">
            <w:pPr>
              <w:pStyle w:val="Compact"/>
            </w:pPr>
            <w:r>
              <w:t>RKI</w:t>
            </w:r>
          </w:p>
        </w:tc>
        <w:tc>
          <w:tcPr>
            <w:tcW w:w="0" w:type="auto"/>
          </w:tcPr>
          <w:p w14:paraId="0B6909AF" w14:textId="77777777" w:rsidR="00D819DC" w:rsidRDefault="00000000">
            <w:pPr>
              <w:pStyle w:val="Compact"/>
            </w:pPr>
            <w:r>
              <w:t>Reverse barrier KI</w:t>
            </w:r>
          </w:p>
        </w:tc>
        <w:tc>
          <w:tcPr>
            <w:tcW w:w="0" w:type="auto"/>
          </w:tcPr>
          <w:p w14:paraId="57A52C34" w14:textId="77777777" w:rsidR="00D819DC" w:rsidRDefault="00000000">
            <w:pPr>
              <w:pStyle w:val="Compact"/>
            </w:pPr>
            <w:r>
              <w:t>3%</w:t>
            </w:r>
          </w:p>
        </w:tc>
      </w:tr>
      <w:tr w:rsidR="00D819DC" w14:paraId="535FFF69" w14:textId="77777777">
        <w:tc>
          <w:tcPr>
            <w:tcW w:w="0" w:type="auto"/>
          </w:tcPr>
          <w:p w14:paraId="1BBB2E9D" w14:textId="77777777" w:rsidR="00D819DC" w:rsidRDefault="00000000">
            <w:pPr>
              <w:pStyle w:val="Compact"/>
            </w:pPr>
            <w:r>
              <w:t>KIKO</w:t>
            </w:r>
          </w:p>
        </w:tc>
        <w:tc>
          <w:tcPr>
            <w:tcW w:w="0" w:type="auto"/>
          </w:tcPr>
          <w:p w14:paraId="76F7EE1C" w14:textId="77777777" w:rsidR="00D819DC" w:rsidRDefault="00000000">
            <w:pPr>
              <w:pStyle w:val="Compact"/>
            </w:pPr>
            <w:r>
              <w:t>KIKO</w:t>
            </w:r>
          </w:p>
        </w:tc>
        <w:tc>
          <w:tcPr>
            <w:tcW w:w="0" w:type="auto"/>
          </w:tcPr>
          <w:p w14:paraId="2076A767" w14:textId="77777777" w:rsidR="00D819DC" w:rsidRDefault="00000000">
            <w:pPr>
              <w:pStyle w:val="Compact"/>
            </w:pPr>
            <w:r>
              <w:t>Double barrier (KI+KO)</w:t>
            </w:r>
          </w:p>
        </w:tc>
        <w:tc>
          <w:tcPr>
            <w:tcW w:w="0" w:type="auto"/>
          </w:tcPr>
          <w:p w14:paraId="0300DE62" w14:textId="77777777" w:rsidR="00D819DC" w:rsidRDefault="00000000">
            <w:pPr>
              <w:pStyle w:val="Compact"/>
            </w:pPr>
            <w:r>
              <w:t>2.5%</w:t>
            </w:r>
          </w:p>
        </w:tc>
      </w:tr>
    </w:tbl>
    <w:p w14:paraId="24D646A0" w14:textId="77777777" w:rsidR="00D819DC" w:rsidRDefault="00000000">
      <w:pPr>
        <w:pStyle w:val="Heading3"/>
      </w:pPr>
      <w:bookmarkStart w:id="37" w:name="digital-options"/>
      <w:bookmarkEnd w:id="36"/>
      <w:r>
        <w:t>Digital Options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9"/>
        <w:gridCol w:w="1848"/>
        <w:gridCol w:w="2294"/>
      </w:tblGrid>
      <w:tr w:rsidR="00D819DC" w14:paraId="4C8383D7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602CAF" w14:textId="77777777" w:rsidR="00D819D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39F1722" w14:textId="77777777" w:rsidR="00D819D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94739DC" w14:textId="77777777" w:rsidR="00D819DC" w:rsidRDefault="00000000">
            <w:pPr>
              <w:pStyle w:val="Compact"/>
            </w:pPr>
            <w:r>
              <w:t>Discontinuity Points</w:t>
            </w:r>
          </w:p>
        </w:tc>
      </w:tr>
      <w:tr w:rsidR="00D819DC" w14:paraId="0252B940" w14:textId="77777777">
        <w:tc>
          <w:tcPr>
            <w:tcW w:w="0" w:type="auto"/>
          </w:tcPr>
          <w:p w14:paraId="6C659D8E" w14:textId="77777777" w:rsidR="00D819DC" w:rsidRDefault="00000000">
            <w:pPr>
              <w:pStyle w:val="Compact"/>
            </w:pPr>
            <w:r>
              <w:t>European Digital</w:t>
            </w:r>
          </w:p>
        </w:tc>
        <w:tc>
          <w:tcPr>
            <w:tcW w:w="0" w:type="auto"/>
          </w:tcPr>
          <w:p w14:paraId="115A313F" w14:textId="77777777" w:rsidR="00D819DC" w:rsidRDefault="00000000">
            <w:pPr>
              <w:pStyle w:val="Compact"/>
            </w:pPr>
            <w:r>
              <w:t>Standard digital</w:t>
            </w:r>
          </w:p>
        </w:tc>
        <w:tc>
          <w:tcPr>
            <w:tcW w:w="0" w:type="auto"/>
          </w:tcPr>
          <w:p w14:paraId="4C1FFDA6" w14:textId="77777777" w:rsidR="00D819DC" w:rsidRDefault="00000000">
            <w:pPr>
              <w:pStyle w:val="Compact"/>
            </w:pPr>
            <w:r>
              <w:t>1 (strike)</w:t>
            </w:r>
          </w:p>
        </w:tc>
      </w:tr>
      <w:tr w:rsidR="00D819DC" w14:paraId="5B5A090E" w14:textId="77777777">
        <w:tc>
          <w:tcPr>
            <w:tcW w:w="0" w:type="auto"/>
          </w:tcPr>
          <w:p w14:paraId="3A998DF6" w14:textId="77777777" w:rsidR="00D819DC" w:rsidRDefault="00000000">
            <w:pPr>
              <w:pStyle w:val="Compact"/>
            </w:pPr>
            <w:r>
              <w:t>Digital Range</w:t>
            </w:r>
          </w:p>
        </w:tc>
        <w:tc>
          <w:tcPr>
            <w:tcW w:w="0" w:type="auto"/>
          </w:tcPr>
          <w:p w14:paraId="2FE7FBAD" w14:textId="77777777" w:rsidR="00D819DC" w:rsidRDefault="00000000">
            <w:pPr>
              <w:pStyle w:val="Compact"/>
            </w:pPr>
            <w:r>
              <w:t>Range digital</w:t>
            </w:r>
          </w:p>
        </w:tc>
        <w:tc>
          <w:tcPr>
            <w:tcW w:w="0" w:type="auto"/>
          </w:tcPr>
          <w:p w14:paraId="71AED624" w14:textId="77777777" w:rsidR="00D819DC" w:rsidRDefault="00000000">
            <w:pPr>
              <w:pStyle w:val="Compact"/>
            </w:pPr>
            <w:r>
              <w:t>2 (lower/upper)</w:t>
            </w:r>
          </w:p>
        </w:tc>
      </w:tr>
    </w:tbl>
    <w:p w14:paraId="281A402B" w14:textId="77777777" w:rsidR="00D819DC" w:rsidRDefault="00000000">
      <w:pPr>
        <w:pStyle w:val="Heading3"/>
      </w:pPr>
      <w:bookmarkStart w:id="38" w:name="tarf-variants"/>
      <w:bookmarkEnd w:id="37"/>
      <w:r>
        <w:t>TARF Variants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3"/>
        <w:gridCol w:w="1737"/>
        <w:gridCol w:w="1468"/>
        <w:gridCol w:w="2230"/>
      </w:tblGrid>
      <w:tr w:rsidR="00D819DC" w14:paraId="0AC046DE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1C828C" w14:textId="77777777" w:rsidR="00D819D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AC8EEED" w14:textId="77777777" w:rsidR="00D819DC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3982F189" w14:textId="77777777" w:rsidR="00D819DC" w:rsidRDefault="00000000">
            <w:pPr>
              <w:pStyle w:val="Compact"/>
            </w:pPr>
            <w:r>
              <w:t>Floor Factor</w:t>
            </w:r>
          </w:p>
        </w:tc>
        <w:tc>
          <w:tcPr>
            <w:tcW w:w="0" w:type="auto"/>
          </w:tcPr>
          <w:p w14:paraId="6F78DCEC" w14:textId="77777777" w:rsidR="00D819DC" w:rsidRDefault="00000000">
            <w:pPr>
              <w:pStyle w:val="Compact"/>
            </w:pPr>
            <w:r>
              <w:t>Notes</w:t>
            </w:r>
          </w:p>
        </w:tc>
      </w:tr>
      <w:tr w:rsidR="00D819DC" w14:paraId="2DB07FA3" w14:textId="77777777">
        <w:tc>
          <w:tcPr>
            <w:tcW w:w="0" w:type="auto"/>
          </w:tcPr>
          <w:p w14:paraId="0D6B7351" w14:textId="77777777" w:rsidR="00D819DC" w:rsidRDefault="00000000">
            <w:pPr>
              <w:pStyle w:val="Compact"/>
            </w:pPr>
            <w:r>
              <w:t>Standard TARF</w:t>
            </w:r>
          </w:p>
        </w:tc>
        <w:tc>
          <w:tcPr>
            <w:tcW w:w="0" w:type="auto"/>
          </w:tcPr>
          <w:p w14:paraId="6E339488" w14:textId="77777777" w:rsidR="00D819DC" w:rsidRDefault="00000000">
            <w:pPr>
              <w:pStyle w:val="Compact"/>
            </w:pPr>
            <w:r>
              <w:t>TARF</w:t>
            </w:r>
          </w:p>
        </w:tc>
        <w:tc>
          <w:tcPr>
            <w:tcW w:w="0" w:type="auto"/>
          </w:tcPr>
          <w:p w14:paraId="4BD628C1" w14:textId="77777777" w:rsidR="00D819DC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71E65DFC" w14:textId="77777777" w:rsidR="00D819DC" w:rsidRDefault="00000000">
            <w:pPr>
              <w:pStyle w:val="Compact"/>
            </w:pPr>
            <w:r>
              <w:t>No EKI</w:t>
            </w:r>
          </w:p>
        </w:tc>
      </w:tr>
      <w:tr w:rsidR="00D819DC" w14:paraId="3DC66600" w14:textId="77777777">
        <w:tc>
          <w:tcPr>
            <w:tcW w:w="0" w:type="auto"/>
          </w:tcPr>
          <w:p w14:paraId="671D6A0D" w14:textId="77777777" w:rsidR="00D819DC" w:rsidRDefault="00000000">
            <w:pPr>
              <w:pStyle w:val="Compact"/>
            </w:pPr>
            <w:r>
              <w:t>TARF with EKI</w:t>
            </w:r>
          </w:p>
        </w:tc>
        <w:tc>
          <w:tcPr>
            <w:tcW w:w="0" w:type="auto"/>
          </w:tcPr>
          <w:p w14:paraId="6E7A6CC1" w14:textId="77777777" w:rsidR="00D819DC" w:rsidRDefault="00000000">
            <w:pPr>
              <w:pStyle w:val="Compact"/>
            </w:pPr>
            <w:r>
              <w:t>TARF_EKI</w:t>
            </w:r>
          </w:p>
        </w:tc>
        <w:tc>
          <w:tcPr>
            <w:tcW w:w="0" w:type="auto"/>
          </w:tcPr>
          <w:p w14:paraId="69AB27DD" w14:textId="77777777" w:rsidR="00D819DC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66253DF2" w14:textId="77777777" w:rsidR="00D819DC" w:rsidRDefault="00000000">
            <w:pPr>
              <w:pStyle w:val="Compact"/>
            </w:pPr>
            <w:r>
              <w:t>Enhanced Knock-In</w:t>
            </w:r>
          </w:p>
        </w:tc>
      </w:tr>
      <w:tr w:rsidR="00D819DC" w14:paraId="0D2F0173" w14:textId="77777777">
        <w:tc>
          <w:tcPr>
            <w:tcW w:w="0" w:type="auto"/>
          </w:tcPr>
          <w:p w14:paraId="7F43D5DA" w14:textId="77777777" w:rsidR="00D819DC" w:rsidRDefault="00000000">
            <w:pPr>
              <w:pStyle w:val="Compact"/>
            </w:pPr>
            <w:r>
              <w:t>Capped TARF</w:t>
            </w:r>
          </w:p>
        </w:tc>
        <w:tc>
          <w:tcPr>
            <w:tcW w:w="0" w:type="auto"/>
          </w:tcPr>
          <w:p w14:paraId="687013D0" w14:textId="77777777" w:rsidR="00D819DC" w:rsidRDefault="00000000">
            <w:pPr>
              <w:pStyle w:val="Compact"/>
            </w:pPr>
            <w:r>
              <w:t>TARF_CAPPED</w:t>
            </w:r>
          </w:p>
        </w:tc>
        <w:tc>
          <w:tcPr>
            <w:tcW w:w="0" w:type="auto"/>
          </w:tcPr>
          <w:p w14:paraId="2EB50A13" w14:textId="77777777" w:rsidR="00D819DC" w:rsidRDefault="00000000">
            <w:pPr>
              <w:pStyle w:val="Compact"/>
            </w:pPr>
            <w:r>
              <w:t>12%</w:t>
            </w:r>
          </w:p>
        </w:tc>
        <w:tc>
          <w:tcPr>
            <w:tcW w:w="0" w:type="auto"/>
          </w:tcPr>
          <w:p w14:paraId="725049E0" w14:textId="77777777" w:rsidR="00D819DC" w:rsidRDefault="00000000">
            <w:pPr>
              <w:pStyle w:val="Compact"/>
            </w:pPr>
            <w:r>
              <w:t>Profit cap applied</w:t>
            </w:r>
          </w:p>
        </w:tc>
      </w:tr>
      <w:tr w:rsidR="00D819DC" w14:paraId="591BAFC6" w14:textId="77777777">
        <w:tc>
          <w:tcPr>
            <w:tcW w:w="0" w:type="auto"/>
          </w:tcPr>
          <w:p w14:paraId="5F5761FB" w14:textId="77777777" w:rsidR="00D819DC" w:rsidRDefault="00000000">
            <w:pPr>
              <w:pStyle w:val="Compact"/>
            </w:pPr>
            <w:r>
              <w:t>Pivot TARF</w:t>
            </w:r>
          </w:p>
        </w:tc>
        <w:tc>
          <w:tcPr>
            <w:tcW w:w="0" w:type="auto"/>
          </w:tcPr>
          <w:p w14:paraId="3656C5C8" w14:textId="77777777" w:rsidR="00D819DC" w:rsidRDefault="00000000">
            <w:pPr>
              <w:pStyle w:val="Compact"/>
            </w:pPr>
            <w:r>
              <w:t>TARF_PIVOT</w:t>
            </w:r>
          </w:p>
        </w:tc>
        <w:tc>
          <w:tcPr>
            <w:tcW w:w="0" w:type="auto"/>
          </w:tcPr>
          <w:p w14:paraId="39EE5D34" w14:textId="77777777" w:rsidR="00D819DC" w:rsidRDefault="00000000">
            <w:pPr>
              <w:pStyle w:val="Compact"/>
            </w:pPr>
            <w:r>
              <w:t>16%</w:t>
            </w:r>
          </w:p>
        </w:tc>
        <w:tc>
          <w:tcPr>
            <w:tcW w:w="0" w:type="auto"/>
          </w:tcPr>
          <w:p w14:paraId="087A5BAD" w14:textId="77777777" w:rsidR="00D819DC" w:rsidRDefault="00000000">
            <w:pPr>
              <w:pStyle w:val="Compact"/>
            </w:pPr>
            <w:r>
              <w:t>Pivot structure</w:t>
            </w:r>
          </w:p>
        </w:tc>
      </w:tr>
      <w:tr w:rsidR="00D819DC" w14:paraId="208DCA49" w14:textId="77777777">
        <w:tc>
          <w:tcPr>
            <w:tcW w:w="0" w:type="auto"/>
          </w:tcPr>
          <w:p w14:paraId="1633140D" w14:textId="77777777" w:rsidR="00D819DC" w:rsidRDefault="00000000">
            <w:pPr>
              <w:pStyle w:val="Compact"/>
            </w:pPr>
            <w:r>
              <w:t>Digital TARF</w:t>
            </w:r>
          </w:p>
        </w:tc>
        <w:tc>
          <w:tcPr>
            <w:tcW w:w="0" w:type="auto"/>
          </w:tcPr>
          <w:p w14:paraId="4094F763" w14:textId="77777777" w:rsidR="00D819DC" w:rsidRDefault="00000000">
            <w:pPr>
              <w:pStyle w:val="Compact"/>
            </w:pPr>
            <w:r>
              <w:t>TARF_DIGITAL</w:t>
            </w:r>
          </w:p>
        </w:tc>
        <w:tc>
          <w:tcPr>
            <w:tcW w:w="0" w:type="auto"/>
          </w:tcPr>
          <w:p w14:paraId="2DE36170" w14:textId="77777777" w:rsidR="00D819DC" w:rsidRDefault="00000000">
            <w:pPr>
              <w:pStyle w:val="Compact"/>
            </w:pPr>
            <w:r>
              <w:t>18%</w:t>
            </w:r>
          </w:p>
        </w:tc>
        <w:tc>
          <w:tcPr>
            <w:tcW w:w="0" w:type="auto"/>
          </w:tcPr>
          <w:p w14:paraId="071DE2AD" w14:textId="77777777" w:rsidR="00D819DC" w:rsidRDefault="00000000">
            <w:pPr>
              <w:pStyle w:val="Compact"/>
            </w:pPr>
            <w:r>
              <w:t>Digital payoff</w:t>
            </w:r>
          </w:p>
        </w:tc>
      </w:tr>
    </w:tbl>
    <w:p w14:paraId="7A961846" w14:textId="77777777" w:rsidR="00D819DC" w:rsidRDefault="00000000">
      <w:pPr>
        <w:pStyle w:val="Heading3"/>
      </w:pPr>
      <w:bookmarkStart w:id="39" w:name="other-exotics"/>
      <w:bookmarkEnd w:id="38"/>
      <w:r>
        <w:t>Other Exotics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1"/>
        <w:gridCol w:w="2262"/>
      </w:tblGrid>
      <w:tr w:rsidR="00D819DC" w14:paraId="79B9C2DE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2E39C0" w14:textId="77777777" w:rsidR="00D819DC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676A728F" w14:textId="77777777" w:rsidR="00D819DC" w:rsidRDefault="00000000">
            <w:pPr>
              <w:pStyle w:val="Compact"/>
            </w:pPr>
            <w:r>
              <w:t>Risk Factor</w:t>
            </w:r>
          </w:p>
        </w:tc>
      </w:tr>
      <w:tr w:rsidR="00D819DC" w14:paraId="3B2EB285" w14:textId="77777777">
        <w:tc>
          <w:tcPr>
            <w:tcW w:w="0" w:type="auto"/>
          </w:tcPr>
          <w:p w14:paraId="6675C691" w14:textId="77777777" w:rsidR="00D819DC" w:rsidRDefault="00000000">
            <w:pPr>
              <w:pStyle w:val="Compact"/>
            </w:pPr>
            <w:r>
              <w:t>Touch</w:t>
            </w:r>
          </w:p>
        </w:tc>
        <w:tc>
          <w:tcPr>
            <w:tcW w:w="0" w:type="auto"/>
          </w:tcPr>
          <w:p w14:paraId="4F4F95B2" w14:textId="77777777" w:rsidR="00D819DC" w:rsidRDefault="00000000">
            <w:pPr>
              <w:pStyle w:val="Compact"/>
            </w:pPr>
            <w:r>
              <w:t>Single touch payout</w:t>
            </w:r>
          </w:p>
        </w:tc>
      </w:tr>
      <w:tr w:rsidR="00D819DC" w14:paraId="711856EC" w14:textId="77777777">
        <w:tc>
          <w:tcPr>
            <w:tcW w:w="0" w:type="auto"/>
          </w:tcPr>
          <w:p w14:paraId="09835E87" w14:textId="77777777" w:rsidR="00D819DC" w:rsidRDefault="00000000">
            <w:pPr>
              <w:pStyle w:val="Compact"/>
            </w:pPr>
            <w:r>
              <w:t>Range Accrual</w:t>
            </w:r>
          </w:p>
        </w:tc>
        <w:tc>
          <w:tcPr>
            <w:tcW w:w="0" w:type="auto"/>
          </w:tcPr>
          <w:p w14:paraId="0FCE1C17" w14:textId="77777777" w:rsidR="00D819DC" w:rsidRDefault="00000000">
            <w:pPr>
              <w:pStyle w:val="Compact"/>
            </w:pPr>
            <w:r>
              <w:t>Range observation</w:t>
            </w:r>
          </w:p>
        </w:tc>
      </w:tr>
    </w:tbl>
    <w:p w14:paraId="4DCBA142" w14:textId="77777777" w:rsidR="00D819DC" w:rsidRDefault="00000000">
      <w:pPr>
        <w:pStyle w:val="BodyText"/>
      </w:pPr>
      <w:r>
        <w:rPr>
          <w:b/>
          <w:bCs/>
        </w:rPr>
        <w:t>ISDA SIMM 2.8 Critical Note</w:t>
      </w:r>
      <w:r>
        <w:t xml:space="preserve"> (Section 11(a)): &gt; “This paragraph applies to vanilla options.”</w:t>
      </w:r>
    </w:p>
    <w:p w14:paraId="17F62ED4" w14:textId="77777777" w:rsidR="00D819DC" w:rsidRDefault="00000000">
      <w:pPr>
        <w:pStyle w:val="BodyText"/>
      </w:pPr>
      <w:r>
        <w:rPr>
          <w:b/>
          <w:bCs/>
        </w:rPr>
        <w:t>Implication</w:t>
      </w:r>
      <w:r>
        <w:t xml:space="preserve">: Curvature formula is </w:t>
      </w:r>
      <w:r>
        <w:rPr>
          <w:b/>
          <w:bCs/>
        </w:rPr>
        <w:t>NOT APPLICABLE</w:t>
      </w:r>
      <w:r>
        <w:t xml:space="preserve"> to exotic options with discontinuous payoffs or path dependency.</w:t>
      </w:r>
    </w:p>
    <w:p w14:paraId="5A6F4A4A" w14:textId="77777777" w:rsidR="00D819DC" w:rsidRDefault="00000000">
      <w:pPr>
        <w:pStyle w:val="Heading2"/>
      </w:pPr>
      <w:bookmarkStart w:id="40" w:name="circuit-breaker-triggers"/>
      <w:bookmarkEnd w:id="35"/>
      <w:bookmarkEnd w:id="39"/>
      <w:r>
        <w:lastRenderedPageBreak/>
        <w:t>5.2 Circuit Breaker Triggers</w:t>
      </w:r>
    </w:p>
    <w:p w14:paraId="7A81D976" w14:textId="77777777" w:rsidR="00D819DC" w:rsidRDefault="00000000">
      <w:pPr>
        <w:pStyle w:val="Heading3"/>
      </w:pPr>
      <w:bookmarkStart w:id="41" w:name="Xcb60752fa1e6928ca0180eff26d882fd6e21b98"/>
      <w:r>
        <w:t>Trigger 1: Pin Risk Detection (Barrier Products)</w:t>
      </w:r>
    </w:p>
    <w:p w14:paraId="6280893D" w14:textId="77777777" w:rsidR="00D819DC" w:rsidRDefault="00000000">
      <w:pPr>
        <w:pStyle w:val="FirstParagraph"/>
      </w:pPr>
      <w:r>
        <w:rPr>
          <w:b/>
          <w:bCs/>
        </w:rPr>
        <w:t>Condition</w:t>
      </w:r>
      <w:r>
        <w:t>: Price within 2% of barrier level</w:t>
      </w:r>
    </w:p>
    <w:p w14:paraId="781DCF49" w14:textId="77777777" w:rsidR="00D819DC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spot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barrier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barrier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0.02</m:t>
          </m:r>
        </m:oMath>
      </m:oMathPara>
    </w:p>
    <w:p w14:paraId="2AA61377" w14:textId="77777777" w:rsidR="00D819DC" w:rsidRDefault="00000000">
      <w:pPr>
        <w:pStyle w:val="FirstParagraph"/>
      </w:pPr>
      <w:r>
        <w:rPr>
          <w:b/>
          <w:bCs/>
        </w:rPr>
        <w:t>AND</w:t>
      </w:r>
      <w:r>
        <w:t xml:space="preserve"> Vega exceeds explosive threshold:</w:t>
      </w:r>
    </w:p>
    <w:p w14:paraId="40457E18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Vega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m:rPr>
              <m:nor/>
            </m:rPr>
            <m:t>Notional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</m:oMath>
      </m:oMathPara>
    </w:p>
    <w:p w14:paraId="45032B98" w14:textId="77777777" w:rsidR="00D819DC" w:rsidRDefault="00000000">
      <w:pPr>
        <w:pStyle w:val="FirstParagraph"/>
      </w:pPr>
      <w:r>
        <w:rPr>
          <w:b/>
          <w:bCs/>
        </w:rPr>
        <w:t>Action</w:t>
      </w:r>
      <w:r>
        <w:t xml:space="preserve">: </w:t>
      </w:r>
      <w:r>
        <w:rPr>
          <w:b/>
          <w:bCs/>
        </w:rPr>
        <w:t>IMMEDIATE CIRCUIT BREAK</w:t>
      </w:r>
      <w:r>
        <w:t xml:space="preserve"> - Fallback to Schedule-based method - Alert operations team - Log audit trail</w:t>
      </w:r>
    </w:p>
    <w:p w14:paraId="25AC4DFF" w14:textId="77777777" w:rsidR="00D819DC" w:rsidRDefault="00000000">
      <w:pPr>
        <w:pStyle w:val="Heading3"/>
      </w:pPr>
      <w:bookmarkStart w:id="42" w:name="trigger-2-cvr-sanity-check"/>
      <w:bookmarkEnd w:id="41"/>
      <w:r>
        <w:t>Trigger 2: CVR Sanity Check</w:t>
      </w:r>
    </w:p>
    <w:p w14:paraId="5E38F911" w14:textId="77777777" w:rsidR="00D819DC" w:rsidRDefault="00000000">
      <w:pPr>
        <w:pStyle w:val="FirstParagraph"/>
      </w:pPr>
      <w:r>
        <w:rPr>
          <w:b/>
          <w:bCs/>
        </w:rPr>
        <w:t>Condition</w:t>
      </w:r>
      <w:r>
        <w:t>: Curvature Risk exceeds notional principal</w:t>
      </w:r>
    </w:p>
    <w:p w14:paraId="4AB7DB50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CVR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m:rPr>
              <m:nor/>
            </m:rPr>
            <m:t>Notional</m:t>
          </m:r>
        </m:oMath>
      </m:oMathPara>
    </w:p>
    <w:p w14:paraId="0A65799C" w14:textId="77777777" w:rsidR="00D819DC" w:rsidRDefault="00000000">
      <w:pPr>
        <w:pStyle w:val="FirstParagraph"/>
      </w:pPr>
      <w:r>
        <w:rPr>
          <w:b/>
          <w:bCs/>
        </w:rPr>
        <w:t>Mathematical Basis</w:t>
      </w:r>
      <w:r>
        <w:t>: If CVR &gt; Notional, the approximation has broken down. This is impossible for a vanilla option but can occur for exotics near barriers.</w:t>
      </w:r>
    </w:p>
    <w:p w14:paraId="71F71E93" w14:textId="77777777" w:rsidR="00D819DC" w:rsidRDefault="00000000">
      <w:pPr>
        <w:pStyle w:val="Heading3"/>
      </w:pPr>
      <w:bookmarkStart w:id="43" w:name="trigger-3-digital-discontinuity"/>
      <w:bookmarkEnd w:id="42"/>
      <w:r>
        <w:t>Trigger 3: Digital Discontinuity</w:t>
      </w:r>
    </w:p>
    <w:p w14:paraId="305CE37E" w14:textId="77777777" w:rsidR="00D819DC" w:rsidRDefault="00000000">
      <w:pPr>
        <w:pStyle w:val="FirstParagraph"/>
      </w:pPr>
      <w:r>
        <w:rPr>
          <w:b/>
          <w:bCs/>
        </w:rPr>
        <w:t>Condition</w:t>
      </w:r>
      <w:r>
        <w:t>: Digital option near strike price</w:t>
      </w:r>
    </w:p>
    <w:p w14:paraId="76901670" w14:textId="77777777" w:rsidR="00D819DC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0.01</m:t>
          </m:r>
        </m:oMath>
      </m:oMathPara>
    </w:p>
    <w:p w14:paraId="10B9B356" w14:textId="77777777" w:rsidR="00D819DC" w:rsidRDefault="00000000">
      <w:pPr>
        <w:pStyle w:val="FirstParagraph"/>
      </w:pPr>
      <w:r>
        <w:t>At this point, Delta is mathematically undefined (Dirac delta function). SIMM 2.8 approximation is invalid.</w:t>
      </w:r>
    </w:p>
    <w:p w14:paraId="3F21AC67" w14:textId="77777777" w:rsidR="00D819DC" w:rsidRDefault="00000000">
      <w:pPr>
        <w:pStyle w:val="Heading3"/>
      </w:pPr>
      <w:bookmarkStart w:id="44" w:name="trigger-4-tarf-behavioral-mismatch"/>
      <w:bookmarkEnd w:id="43"/>
      <w:r>
        <w:t>Trigger 4: TARF Behavioral Mismatch</w:t>
      </w:r>
    </w:p>
    <w:p w14:paraId="09DFD42C" w14:textId="77777777" w:rsidR="00D819DC" w:rsidRDefault="00000000">
      <w:pPr>
        <w:pStyle w:val="FirstParagraph"/>
      </w:pPr>
      <w:r>
        <w:rPr>
          <w:b/>
          <w:bCs/>
        </w:rPr>
        <w:t>Condition</w:t>
      </w:r>
      <w:r>
        <w:t>: Target redemption progress &gt; 80% but Vega remains high</w:t>
      </w:r>
    </w:p>
    <w:p w14:paraId="6ADB4CE9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Target Completion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Accumulated Gain</m:t>
              </m:r>
            </m:num>
            <m:den>
              <m:r>
                <m:rPr>
                  <m:nor/>
                </m:rPr>
                <m:t>Target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0.8</m:t>
          </m:r>
        </m:oMath>
      </m:oMathPara>
    </w:p>
    <w:p w14:paraId="7A2277EF" w14:textId="77777777" w:rsidR="00D819DC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Vega Risk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nor/>
            </m:rPr>
            <m:t>Delta Risk</m:t>
          </m:r>
        </m:oMath>
      </m:oMathPara>
    </w:p>
    <w:p w14:paraId="175FFE3E" w14:textId="77777777" w:rsidR="00D819DC" w:rsidRDefault="00000000">
      <w:pPr>
        <w:pStyle w:val="FirstParagraph"/>
      </w:pPr>
      <w:r>
        <w:rPr>
          <w:b/>
          <w:bCs/>
        </w:rPr>
        <w:t>Expected Behavior</w:t>
      </w:r>
      <w:r>
        <w:t>: Near target, TARF should behave like a Forward (Vega → 0). High Vega indicates model mis-specification.</w:t>
      </w:r>
    </w:p>
    <w:p w14:paraId="58A95216" w14:textId="77777777" w:rsidR="00D819DC" w:rsidRDefault="00000000">
      <w:pPr>
        <w:pStyle w:val="Heading2"/>
      </w:pPr>
      <w:bookmarkStart w:id="45" w:name="fallback-calculation"/>
      <w:bookmarkEnd w:id="40"/>
      <w:bookmarkEnd w:id="44"/>
      <w:r>
        <w:t>5.3 Fallback Calculation</w:t>
      </w:r>
    </w:p>
    <w:p w14:paraId="72BEED5B" w14:textId="77777777" w:rsidR="00D819DC" w:rsidRDefault="00000000">
      <w:pPr>
        <w:pStyle w:val="FirstParagraph"/>
      </w:pPr>
      <w:r>
        <w:t>When circuit breaker triggers:</w:t>
      </w:r>
    </w:p>
    <w:p w14:paraId="21A4B452" w14:textId="77777777" w:rsidR="00D819DC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w:lastRenderedPageBreak/>
            <m:t>Fallback Margin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Notional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nor/>
            </m:rPr>
            <m:t>Schedule Factor</m:t>
          </m:r>
        </m:oMath>
      </m:oMathPara>
    </w:p>
    <w:p w14:paraId="46A675CC" w14:textId="77777777" w:rsidR="00D819DC" w:rsidRDefault="00000000">
      <w:pPr>
        <w:pStyle w:val="FirstParagraph"/>
      </w:pPr>
      <w:r>
        <w:rPr>
          <w:b/>
          <w:bCs/>
        </w:rPr>
        <w:t>Schedule Factors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2"/>
        <w:gridCol w:w="1699"/>
      </w:tblGrid>
      <w:tr w:rsidR="00D819DC" w14:paraId="16241990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01DBF0" w14:textId="77777777" w:rsidR="00D819DC" w:rsidRDefault="00000000">
            <w:pPr>
              <w:pStyle w:val="Compact"/>
            </w:pPr>
            <w:r>
              <w:t>Asset Class</w:t>
            </w:r>
          </w:p>
        </w:tc>
        <w:tc>
          <w:tcPr>
            <w:tcW w:w="0" w:type="auto"/>
          </w:tcPr>
          <w:p w14:paraId="115F754F" w14:textId="77777777" w:rsidR="00D819DC" w:rsidRDefault="00000000">
            <w:pPr>
              <w:pStyle w:val="Compact"/>
            </w:pPr>
            <w:r>
              <w:t>Factor</w:t>
            </w:r>
          </w:p>
        </w:tc>
      </w:tr>
      <w:tr w:rsidR="00D819DC" w14:paraId="38EFC26A" w14:textId="77777777">
        <w:tc>
          <w:tcPr>
            <w:tcW w:w="0" w:type="auto"/>
          </w:tcPr>
          <w:p w14:paraId="01F57631" w14:textId="77777777" w:rsidR="00D819DC" w:rsidRDefault="00000000">
            <w:pPr>
              <w:pStyle w:val="Compact"/>
            </w:pPr>
            <w:r>
              <w:t>Interest Rate</w:t>
            </w:r>
          </w:p>
        </w:tc>
        <w:tc>
          <w:tcPr>
            <w:tcW w:w="0" w:type="auto"/>
          </w:tcPr>
          <w:p w14:paraId="40C3F737" w14:textId="77777777" w:rsidR="00D819DC" w:rsidRDefault="00000000">
            <w:pPr>
              <w:pStyle w:val="Compact"/>
            </w:pPr>
            <w:r>
              <w:t>1.0% - 2.0%</w:t>
            </w:r>
          </w:p>
        </w:tc>
      </w:tr>
      <w:tr w:rsidR="00D819DC" w14:paraId="56CEC9BA" w14:textId="77777777">
        <w:tc>
          <w:tcPr>
            <w:tcW w:w="0" w:type="auto"/>
          </w:tcPr>
          <w:p w14:paraId="61022749" w14:textId="77777777" w:rsidR="00D819DC" w:rsidRDefault="00000000">
            <w:pPr>
              <w:pStyle w:val="Compact"/>
            </w:pPr>
            <w:r>
              <w:t>FX</w:t>
            </w:r>
          </w:p>
        </w:tc>
        <w:tc>
          <w:tcPr>
            <w:tcW w:w="0" w:type="auto"/>
          </w:tcPr>
          <w:p w14:paraId="2AAA0000" w14:textId="77777777" w:rsidR="00D819DC" w:rsidRDefault="00000000">
            <w:pPr>
              <w:pStyle w:val="Compact"/>
            </w:pPr>
            <w:r>
              <w:t>1.5% - 3.0%</w:t>
            </w:r>
          </w:p>
        </w:tc>
      </w:tr>
      <w:tr w:rsidR="00D819DC" w14:paraId="7D851933" w14:textId="77777777">
        <w:tc>
          <w:tcPr>
            <w:tcW w:w="0" w:type="auto"/>
          </w:tcPr>
          <w:p w14:paraId="561DDA95" w14:textId="77777777" w:rsidR="00D819DC" w:rsidRDefault="00000000">
            <w:pPr>
              <w:pStyle w:val="Compact"/>
            </w:pPr>
            <w:r>
              <w:t>Equity</w:t>
            </w:r>
          </w:p>
        </w:tc>
        <w:tc>
          <w:tcPr>
            <w:tcW w:w="0" w:type="auto"/>
          </w:tcPr>
          <w:p w14:paraId="52576330" w14:textId="77777777" w:rsidR="00D819DC" w:rsidRDefault="00000000">
            <w:pPr>
              <w:pStyle w:val="Compact"/>
            </w:pPr>
            <w:r>
              <w:t>6.0% - 15.0%</w:t>
            </w:r>
          </w:p>
        </w:tc>
      </w:tr>
      <w:tr w:rsidR="00D819DC" w14:paraId="594A9D1B" w14:textId="77777777">
        <w:tc>
          <w:tcPr>
            <w:tcW w:w="0" w:type="auto"/>
          </w:tcPr>
          <w:p w14:paraId="7624C7E3" w14:textId="77777777" w:rsidR="00D819DC" w:rsidRDefault="00000000">
            <w:pPr>
              <w:pStyle w:val="Compact"/>
            </w:pPr>
            <w:r>
              <w:t>Credit</w:t>
            </w:r>
          </w:p>
        </w:tc>
        <w:tc>
          <w:tcPr>
            <w:tcW w:w="0" w:type="auto"/>
          </w:tcPr>
          <w:p w14:paraId="7C155429" w14:textId="77777777" w:rsidR="00D819DC" w:rsidRDefault="00000000">
            <w:pPr>
              <w:pStyle w:val="Compact"/>
            </w:pPr>
            <w:r>
              <w:t>2.0% - 10.0%</w:t>
            </w:r>
          </w:p>
        </w:tc>
      </w:tr>
      <w:tr w:rsidR="00D819DC" w14:paraId="52ED5A89" w14:textId="77777777">
        <w:tc>
          <w:tcPr>
            <w:tcW w:w="0" w:type="auto"/>
          </w:tcPr>
          <w:p w14:paraId="1E7A0A86" w14:textId="77777777" w:rsidR="00D819DC" w:rsidRDefault="00000000">
            <w:pPr>
              <w:pStyle w:val="Compact"/>
            </w:pPr>
            <w:r>
              <w:t>Commodity</w:t>
            </w:r>
          </w:p>
        </w:tc>
        <w:tc>
          <w:tcPr>
            <w:tcW w:w="0" w:type="auto"/>
          </w:tcPr>
          <w:p w14:paraId="4AF277DE" w14:textId="77777777" w:rsidR="00D819DC" w:rsidRDefault="00000000">
            <w:pPr>
              <w:pStyle w:val="Compact"/>
            </w:pPr>
            <w:r>
              <w:t>10.0% - 15.0%</w:t>
            </w:r>
          </w:p>
        </w:tc>
      </w:tr>
    </w:tbl>
    <w:p w14:paraId="0EF2F2EC" w14:textId="77777777" w:rsidR="00D819DC" w:rsidRDefault="00000000">
      <w:pPr>
        <w:pStyle w:val="Heading1"/>
      </w:pPr>
      <w:bookmarkStart w:id="46" w:name="appendix-a-isda-simm-2.8-references"/>
      <w:bookmarkEnd w:id="34"/>
      <w:bookmarkEnd w:id="45"/>
      <w:r>
        <w:t>Appendix A: ISDA SIMM 2.8 References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6"/>
        <w:gridCol w:w="1591"/>
        <w:gridCol w:w="5003"/>
      </w:tblGrid>
      <w:tr w:rsidR="00D819DC" w14:paraId="4A61836A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5" w:type="dxa"/>
          </w:tcPr>
          <w:p w14:paraId="195DEF4D" w14:textId="77777777" w:rsidR="00D819DC" w:rsidRDefault="00000000">
            <w:pPr>
              <w:pStyle w:val="Compact"/>
            </w:pPr>
            <w:r>
              <w:t>Section</w:t>
            </w:r>
          </w:p>
        </w:tc>
        <w:tc>
          <w:tcPr>
            <w:tcW w:w="1458" w:type="dxa"/>
          </w:tcPr>
          <w:p w14:paraId="43B20CDA" w14:textId="77777777" w:rsidR="00D819DC" w:rsidRDefault="00000000">
            <w:pPr>
              <w:pStyle w:val="Compact"/>
            </w:pPr>
            <w:r>
              <w:t>Title</w:t>
            </w:r>
          </w:p>
        </w:tc>
        <w:tc>
          <w:tcPr>
            <w:tcW w:w="4585" w:type="dxa"/>
          </w:tcPr>
          <w:p w14:paraId="20A3E3A9" w14:textId="77777777" w:rsidR="00D819DC" w:rsidRDefault="00000000">
            <w:pPr>
              <w:pStyle w:val="Compact"/>
            </w:pPr>
            <w:r>
              <w:t>Challenge Application</w:t>
            </w:r>
          </w:p>
        </w:tc>
      </w:tr>
      <w:tr w:rsidR="00D819DC" w14:paraId="116F0C11" w14:textId="77777777">
        <w:tc>
          <w:tcPr>
            <w:tcW w:w="1875" w:type="dxa"/>
          </w:tcPr>
          <w:p w14:paraId="19FB5C1E" w14:textId="77777777" w:rsidR="00D819DC" w:rsidRDefault="00000000">
            <w:pPr>
              <w:pStyle w:val="Compact"/>
            </w:pPr>
            <w:r>
              <w:t>A</w:t>
            </w:r>
          </w:p>
        </w:tc>
        <w:tc>
          <w:tcPr>
            <w:tcW w:w="1458" w:type="dxa"/>
          </w:tcPr>
          <w:p w14:paraId="5B099FDF" w14:textId="77777777" w:rsidR="00D819DC" w:rsidRDefault="00000000">
            <w:pPr>
              <w:pStyle w:val="Compact"/>
            </w:pPr>
            <w:r>
              <w:t>Scope</w:t>
            </w:r>
          </w:p>
        </w:tc>
        <w:tc>
          <w:tcPr>
            <w:tcW w:w="4585" w:type="dxa"/>
          </w:tcPr>
          <w:p w14:paraId="1B4717F6" w14:textId="77777777" w:rsidR="00D819DC" w:rsidRDefault="00000000">
            <w:pPr>
              <w:pStyle w:val="Compact"/>
            </w:pPr>
            <w:r>
              <w:t>Product classification</w:t>
            </w:r>
          </w:p>
        </w:tc>
      </w:tr>
      <w:tr w:rsidR="00D819DC" w14:paraId="45F36295" w14:textId="77777777">
        <w:tc>
          <w:tcPr>
            <w:tcW w:w="1875" w:type="dxa"/>
          </w:tcPr>
          <w:p w14:paraId="6C2E9787" w14:textId="77777777" w:rsidR="00D819DC" w:rsidRDefault="00000000">
            <w:pPr>
              <w:pStyle w:val="Compact"/>
            </w:pPr>
            <w:r>
              <w:t>C.1</w:t>
            </w:r>
          </w:p>
        </w:tc>
        <w:tc>
          <w:tcPr>
            <w:tcW w:w="1458" w:type="dxa"/>
          </w:tcPr>
          <w:p w14:paraId="52780E74" w14:textId="77777777" w:rsidR="00D819DC" w:rsidRDefault="00000000">
            <w:pPr>
              <w:pStyle w:val="Compact"/>
            </w:pPr>
            <w:r>
              <w:t>Delta Risk (IR, FX, EQ, CO)</w:t>
            </w:r>
          </w:p>
        </w:tc>
        <w:tc>
          <w:tcPr>
            <w:tcW w:w="4585" w:type="dxa"/>
          </w:tcPr>
          <w:p w14:paraId="62CF4E15" w14:textId="77777777" w:rsidR="00D819DC" w:rsidRDefault="00000000">
            <w:pPr>
              <w:pStyle w:val="Compact"/>
            </w:pPr>
            <w:r>
              <w:t>Linear product verification</w:t>
            </w:r>
          </w:p>
        </w:tc>
      </w:tr>
      <w:tr w:rsidR="00D819DC" w14:paraId="5653973D" w14:textId="77777777">
        <w:tc>
          <w:tcPr>
            <w:tcW w:w="1875" w:type="dxa"/>
          </w:tcPr>
          <w:p w14:paraId="2519B7A3" w14:textId="77777777" w:rsidR="00D819DC" w:rsidRDefault="00000000">
            <w:pPr>
              <w:pStyle w:val="Compact"/>
            </w:pPr>
            <w:r>
              <w:t>C.2</w:t>
            </w:r>
          </w:p>
        </w:tc>
        <w:tc>
          <w:tcPr>
            <w:tcW w:w="1458" w:type="dxa"/>
          </w:tcPr>
          <w:p w14:paraId="66A6A2F5" w14:textId="77777777" w:rsidR="00D819DC" w:rsidRDefault="00000000">
            <w:pPr>
              <w:pStyle w:val="Compact"/>
            </w:pPr>
            <w:r>
              <w:t>Delta Risk (Credit)</w:t>
            </w:r>
          </w:p>
        </w:tc>
        <w:tc>
          <w:tcPr>
            <w:tcW w:w="4585" w:type="dxa"/>
          </w:tcPr>
          <w:p w14:paraId="21C67A6E" w14:textId="77777777" w:rsidR="00D819DC" w:rsidRDefault="00000000">
            <w:pPr>
              <w:pStyle w:val="Compact"/>
            </w:pPr>
            <w:r>
              <w:t>CRQ/CRNQ classification</w:t>
            </w:r>
          </w:p>
        </w:tc>
      </w:tr>
      <w:tr w:rsidR="00D819DC" w14:paraId="2269DB84" w14:textId="77777777">
        <w:tc>
          <w:tcPr>
            <w:tcW w:w="1875" w:type="dxa"/>
          </w:tcPr>
          <w:p w14:paraId="5FDDF1B9" w14:textId="77777777" w:rsidR="00D819DC" w:rsidRDefault="00000000">
            <w:pPr>
              <w:pStyle w:val="Compact"/>
            </w:pPr>
            <w:r>
              <w:t>C.3</w:t>
            </w:r>
          </w:p>
        </w:tc>
        <w:tc>
          <w:tcPr>
            <w:tcW w:w="1458" w:type="dxa"/>
          </w:tcPr>
          <w:p w14:paraId="608F3BFE" w14:textId="77777777" w:rsidR="00D819DC" w:rsidRDefault="00000000">
            <w:pPr>
              <w:pStyle w:val="Compact"/>
            </w:pPr>
            <w:r>
              <w:t>Credit Spread Risk</w:t>
            </w:r>
          </w:p>
        </w:tc>
        <w:tc>
          <w:tcPr>
            <w:tcW w:w="4585" w:type="dxa"/>
          </w:tcPr>
          <w:p w14:paraId="71FD6DCA" w14:textId="77777777" w:rsidR="00D819DC" w:rsidRDefault="00000000">
            <w:pPr>
              <w:pStyle w:val="Compact"/>
            </w:pPr>
            <w:r>
              <w:t>Rating-to-RW mapping</w:t>
            </w:r>
          </w:p>
        </w:tc>
      </w:tr>
      <w:tr w:rsidR="00D819DC" w14:paraId="75E7836F" w14:textId="77777777">
        <w:tc>
          <w:tcPr>
            <w:tcW w:w="1875" w:type="dxa"/>
          </w:tcPr>
          <w:p w14:paraId="5217179E" w14:textId="77777777" w:rsidR="00D819DC" w:rsidRDefault="00000000">
            <w:pPr>
              <w:pStyle w:val="Compact"/>
            </w:pPr>
            <w:r>
              <w:t>C.8</w:t>
            </w:r>
          </w:p>
        </w:tc>
        <w:tc>
          <w:tcPr>
            <w:tcW w:w="1458" w:type="dxa"/>
          </w:tcPr>
          <w:p w14:paraId="5AF1D8DF" w14:textId="77777777" w:rsidR="00D819DC" w:rsidRDefault="00000000">
            <w:pPr>
              <w:pStyle w:val="Compact"/>
            </w:pPr>
            <w:r>
              <w:t>Curvature Risk</w:t>
            </w:r>
          </w:p>
        </w:tc>
        <w:tc>
          <w:tcPr>
            <w:tcW w:w="4585" w:type="dxa"/>
          </w:tcPr>
          <w:p w14:paraId="0B19C000" w14:textId="77777777" w:rsidR="00D819DC" w:rsidRDefault="00000000">
            <w:pPr>
              <w:pStyle w:val="Compact"/>
            </w:pPr>
            <w:r>
              <w:t>Option curvature validation</w:t>
            </w:r>
          </w:p>
        </w:tc>
      </w:tr>
      <w:tr w:rsidR="00D819DC" w14:paraId="101946CA" w14:textId="77777777">
        <w:tc>
          <w:tcPr>
            <w:tcW w:w="1875" w:type="dxa"/>
          </w:tcPr>
          <w:p w14:paraId="4DAA2572" w14:textId="77777777" w:rsidR="00D819DC" w:rsidRDefault="00000000">
            <w:pPr>
              <w:pStyle w:val="Compact"/>
            </w:pPr>
            <w:r>
              <w:t>4</w:t>
            </w:r>
          </w:p>
        </w:tc>
        <w:tc>
          <w:tcPr>
            <w:tcW w:w="1458" w:type="dxa"/>
          </w:tcPr>
          <w:p w14:paraId="136B6474" w14:textId="77777777" w:rsidR="00D819DC" w:rsidRDefault="00000000">
            <w:pPr>
              <w:pStyle w:val="Compact"/>
            </w:pPr>
            <w:r>
              <w:t>Delta Margin Aggregation</w:t>
            </w:r>
          </w:p>
        </w:tc>
        <w:tc>
          <w:tcPr>
            <w:tcW w:w="4585" w:type="dxa"/>
          </w:tcPr>
          <w:p w14:paraId="19F9680C" w14:textId="77777777" w:rsidR="00D819DC" w:rsidRDefault="00000000">
            <w:pPr>
              <w:pStyle w:val="Compact"/>
            </w:pPr>
            <w:r>
              <w:t>Subadditivity bounds</w:t>
            </w:r>
          </w:p>
        </w:tc>
      </w:tr>
      <w:tr w:rsidR="00D819DC" w14:paraId="09D3473F" w14:textId="77777777">
        <w:tc>
          <w:tcPr>
            <w:tcW w:w="1875" w:type="dxa"/>
          </w:tcPr>
          <w:p w14:paraId="34BD703A" w14:textId="77777777" w:rsidR="00D819DC" w:rsidRDefault="00000000">
            <w:pPr>
              <w:pStyle w:val="Compact"/>
            </w:pPr>
            <w:r>
              <w:t>11</w:t>
            </w:r>
          </w:p>
        </w:tc>
        <w:tc>
          <w:tcPr>
            <w:tcW w:w="1458" w:type="dxa"/>
          </w:tcPr>
          <w:p w14:paraId="6287276D" w14:textId="77777777" w:rsidR="00D819DC" w:rsidRDefault="00000000">
            <w:pPr>
              <w:pStyle w:val="Compact"/>
            </w:pPr>
            <w:r>
              <w:t>Curvature Risk Calculation</w:t>
            </w:r>
          </w:p>
        </w:tc>
        <w:tc>
          <w:tcPr>
            <w:tcW w:w="4585" w:type="dxa"/>
          </w:tcPr>
          <w:p w14:paraId="76006FF0" w14:textId="77777777" w:rsidR="00D819DC" w:rsidRDefault="00000000">
            <w:pPr>
              <w:pStyle w:val="Compact"/>
            </w:pPr>
            <w:r>
              <w:t>Scaling function, vanilla assumptions</w:t>
            </w:r>
          </w:p>
        </w:tc>
      </w:tr>
      <w:tr w:rsidR="00D819DC" w14:paraId="742B410A" w14:textId="77777777">
        <w:tc>
          <w:tcPr>
            <w:tcW w:w="1875" w:type="dxa"/>
          </w:tcPr>
          <w:p w14:paraId="0960F583" w14:textId="77777777" w:rsidR="00D819DC" w:rsidRDefault="00000000">
            <w:pPr>
              <w:pStyle w:val="Compact"/>
            </w:pPr>
            <w:r>
              <w:t>Table 1</w:t>
            </w:r>
          </w:p>
        </w:tc>
        <w:tc>
          <w:tcPr>
            <w:tcW w:w="1458" w:type="dxa"/>
          </w:tcPr>
          <w:p w14:paraId="67B749DA" w14:textId="77777777" w:rsidR="00D819DC" w:rsidRDefault="00000000">
            <w:pPr>
              <w:pStyle w:val="Compact"/>
            </w:pPr>
            <w:r>
              <w:t>Risk Weights</w:t>
            </w:r>
          </w:p>
        </w:tc>
        <w:tc>
          <w:tcPr>
            <w:tcW w:w="4585" w:type="dxa"/>
          </w:tcPr>
          <w:p w14:paraId="7D9910ED" w14:textId="77777777" w:rsidR="00D819DC" w:rsidRDefault="00000000">
            <w:pPr>
              <w:pStyle w:val="Compact"/>
            </w:pPr>
            <w:r>
              <w:t>RW consistency checks</w:t>
            </w:r>
          </w:p>
        </w:tc>
      </w:tr>
      <w:tr w:rsidR="00D819DC" w14:paraId="1C25F107" w14:textId="77777777">
        <w:tc>
          <w:tcPr>
            <w:tcW w:w="1875" w:type="dxa"/>
          </w:tcPr>
          <w:p w14:paraId="3A6B2108" w14:textId="77777777" w:rsidR="00D819DC" w:rsidRDefault="00000000">
            <w:pPr>
              <w:pStyle w:val="Compact"/>
            </w:pPr>
            <w:r>
              <w:t>Table 2</w:t>
            </w:r>
          </w:p>
        </w:tc>
        <w:tc>
          <w:tcPr>
            <w:tcW w:w="1458" w:type="dxa"/>
          </w:tcPr>
          <w:p w14:paraId="3ADF083F" w14:textId="77777777" w:rsidR="00D819DC" w:rsidRDefault="00000000">
            <w:pPr>
              <w:pStyle w:val="Compact"/>
            </w:pPr>
            <w:r>
              <w:t>Credit Quality</w:t>
            </w:r>
          </w:p>
        </w:tc>
        <w:tc>
          <w:tcPr>
            <w:tcW w:w="4585" w:type="dxa"/>
          </w:tcPr>
          <w:p w14:paraId="194C38A6" w14:textId="77777777" w:rsidR="00D819DC" w:rsidRDefault="00000000">
            <w:pPr>
              <w:pStyle w:val="Compact"/>
            </w:pPr>
            <w:r>
              <w:t>IG vs HY classification</w:t>
            </w:r>
          </w:p>
        </w:tc>
      </w:tr>
      <w:tr w:rsidR="00D819DC" w14:paraId="4A2508AE" w14:textId="77777777">
        <w:tc>
          <w:tcPr>
            <w:tcW w:w="1875" w:type="dxa"/>
          </w:tcPr>
          <w:p w14:paraId="769C6046" w14:textId="77777777" w:rsidR="00D819DC" w:rsidRDefault="00000000">
            <w:pPr>
              <w:pStyle w:val="Compact"/>
            </w:pPr>
            <w:r>
              <w:t>Table 4</w:t>
            </w:r>
          </w:p>
        </w:tc>
        <w:tc>
          <w:tcPr>
            <w:tcW w:w="1458" w:type="dxa"/>
          </w:tcPr>
          <w:p w14:paraId="68264940" w14:textId="77777777" w:rsidR="00D819DC" w:rsidRDefault="00000000">
            <w:pPr>
              <w:pStyle w:val="Compact"/>
            </w:pPr>
            <w:r>
              <w:t>Correlations</w:t>
            </w:r>
          </w:p>
        </w:tc>
        <w:tc>
          <w:tcPr>
            <w:tcW w:w="4585" w:type="dxa"/>
          </w:tcPr>
          <w:p w14:paraId="1FD504C7" w14:textId="77777777" w:rsidR="00D819DC" w:rsidRDefault="00000000">
            <w:pPr>
              <w:pStyle w:val="Compact"/>
            </w:pPr>
            <w:r>
              <w:t>Aggregation formula validation</w:t>
            </w:r>
          </w:p>
        </w:tc>
      </w:tr>
    </w:tbl>
    <w:p w14:paraId="09CAD282" w14:textId="77777777" w:rsidR="00D819DC" w:rsidRDefault="00000000">
      <w:pPr>
        <w:pStyle w:val="Heading1"/>
      </w:pPr>
      <w:bookmarkStart w:id="47" w:name="appendix-b-glossary"/>
      <w:bookmarkEnd w:id="46"/>
      <w:r>
        <w:t>Appendix B: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5760"/>
      </w:tblGrid>
      <w:tr w:rsidR="00D819DC" w14:paraId="4329E5F6" w14:textId="77777777" w:rsidTr="00D8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FA69CB" w14:textId="77777777" w:rsidR="00D819DC" w:rsidRDefault="00000000">
            <w:pPr>
              <w:pStyle w:val="Compact"/>
            </w:pPr>
            <w:r>
              <w:t>Term</w:t>
            </w:r>
          </w:p>
        </w:tc>
        <w:tc>
          <w:tcPr>
            <w:tcW w:w="5280" w:type="dxa"/>
          </w:tcPr>
          <w:p w14:paraId="55B95CCC" w14:textId="77777777" w:rsidR="00D819DC" w:rsidRDefault="00000000">
            <w:pPr>
              <w:pStyle w:val="Compact"/>
            </w:pPr>
            <w:r>
              <w:t>Definition</w:t>
            </w:r>
          </w:p>
        </w:tc>
      </w:tr>
      <w:tr w:rsidR="00D819DC" w14:paraId="20BBE144" w14:textId="77777777">
        <w:tc>
          <w:tcPr>
            <w:tcW w:w="2640" w:type="dxa"/>
          </w:tcPr>
          <w:p w14:paraId="3967DEC4" w14:textId="77777777" w:rsidR="00D819DC" w:rsidRDefault="00000000">
            <w:pPr>
              <w:pStyle w:val="Compact"/>
            </w:pPr>
            <w:r>
              <w:rPr>
                <w:b/>
                <w:bCs/>
              </w:rPr>
              <w:t>Challenge Model</w:t>
            </w:r>
          </w:p>
        </w:tc>
        <w:tc>
          <w:tcPr>
            <w:tcW w:w="5280" w:type="dxa"/>
          </w:tcPr>
          <w:p w14:paraId="60D9DB38" w14:textId="77777777" w:rsidR="00D819DC" w:rsidRDefault="00000000">
            <w:pPr>
              <w:pStyle w:val="Compact"/>
            </w:pPr>
            <w:r>
              <w:t>Independent verification framework for SIMM 2.8</w:t>
            </w:r>
          </w:p>
        </w:tc>
      </w:tr>
      <w:tr w:rsidR="00D819DC" w14:paraId="77C5EBDB" w14:textId="77777777">
        <w:tc>
          <w:tcPr>
            <w:tcW w:w="2640" w:type="dxa"/>
          </w:tcPr>
          <w:p w14:paraId="62BDB316" w14:textId="77777777" w:rsidR="00D819DC" w:rsidRDefault="00000000">
            <w:pPr>
              <w:pStyle w:val="Compact"/>
            </w:pPr>
            <w:r>
              <w:rPr>
                <w:b/>
                <w:bCs/>
              </w:rPr>
              <w:t>Circuit Breaker</w:t>
            </w:r>
          </w:p>
        </w:tc>
        <w:tc>
          <w:tcPr>
            <w:tcW w:w="5280" w:type="dxa"/>
          </w:tcPr>
          <w:p w14:paraId="228C347A" w14:textId="77777777" w:rsidR="00D819DC" w:rsidRDefault="00000000">
            <w:pPr>
              <w:pStyle w:val="Compact"/>
            </w:pPr>
            <w:r>
              <w:t>Automatic fallback trigger when SIMM formula fails</w:t>
            </w:r>
          </w:p>
        </w:tc>
      </w:tr>
      <w:tr w:rsidR="00D819DC" w14:paraId="5C074B2D" w14:textId="77777777">
        <w:tc>
          <w:tcPr>
            <w:tcW w:w="2640" w:type="dxa"/>
          </w:tcPr>
          <w:p w14:paraId="7EF631F5" w14:textId="77777777" w:rsidR="00D819D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CRQ</w:t>
            </w:r>
          </w:p>
        </w:tc>
        <w:tc>
          <w:tcPr>
            <w:tcW w:w="5280" w:type="dxa"/>
          </w:tcPr>
          <w:p w14:paraId="45E77884" w14:textId="77777777" w:rsidR="00D819DC" w:rsidRDefault="00000000">
            <w:pPr>
              <w:pStyle w:val="Compact"/>
            </w:pPr>
            <w:r>
              <w:t>Credit Qualifying (IG ratings)</w:t>
            </w:r>
          </w:p>
        </w:tc>
      </w:tr>
      <w:tr w:rsidR="00D819DC" w14:paraId="6AF1A39B" w14:textId="77777777">
        <w:tc>
          <w:tcPr>
            <w:tcW w:w="2640" w:type="dxa"/>
          </w:tcPr>
          <w:p w14:paraId="1EDBD46B" w14:textId="77777777" w:rsidR="00D819DC" w:rsidRDefault="00000000">
            <w:pPr>
              <w:pStyle w:val="Compact"/>
            </w:pPr>
            <w:r>
              <w:rPr>
                <w:b/>
                <w:bCs/>
              </w:rPr>
              <w:t>CRNQ</w:t>
            </w:r>
          </w:p>
        </w:tc>
        <w:tc>
          <w:tcPr>
            <w:tcW w:w="5280" w:type="dxa"/>
          </w:tcPr>
          <w:p w14:paraId="7270C2E4" w14:textId="77777777" w:rsidR="00D819DC" w:rsidRDefault="00000000">
            <w:pPr>
              <w:pStyle w:val="Compact"/>
            </w:pPr>
            <w:r>
              <w:t>Credit Non-Qualifying (HY ratings)</w:t>
            </w:r>
          </w:p>
        </w:tc>
      </w:tr>
      <w:tr w:rsidR="00D819DC" w14:paraId="5CC4A0C6" w14:textId="77777777">
        <w:tc>
          <w:tcPr>
            <w:tcW w:w="2640" w:type="dxa"/>
          </w:tcPr>
          <w:p w14:paraId="531E5809" w14:textId="77777777" w:rsidR="00D819DC" w:rsidRDefault="00000000">
            <w:pPr>
              <w:pStyle w:val="Compact"/>
            </w:pPr>
            <w:r>
              <w:rPr>
                <w:b/>
                <w:bCs/>
              </w:rPr>
              <w:t>CVR</w:t>
            </w:r>
          </w:p>
        </w:tc>
        <w:tc>
          <w:tcPr>
            <w:tcW w:w="5280" w:type="dxa"/>
          </w:tcPr>
          <w:p w14:paraId="4E242C4F" w14:textId="77777777" w:rsidR="00D819DC" w:rsidRDefault="00000000">
            <w:pPr>
              <w:pStyle w:val="Compact"/>
            </w:pPr>
            <w:r>
              <w:t>Curvature Risk</w:t>
            </w:r>
          </w:p>
        </w:tc>
      </w:tr>
      <w:tr w:rsidR="00D819DC" w14:paraId="74C13A75" w14:textId="77777777">
        <w:tc>
          <w:tcPr>
            <w:tcW w:w="2640" w:type="dxa"/>
          </w:tcPr>
          <w:p w14:paraId="7E58B01B" w14:textId="77777777" w:rsidR="00D819DC" w:rsidRDefault="00000000">
            <w:pPr>
              <w:pStyle w:val="Compact"/>
            </w:pPr>
            <w:r>
              <w:rPr>
                <w:b/>
                <w:bCs/>
              </w:rPr>
              <w:t>JTD</w:t>
            </w:r>
          </w:p>
        </w:tc>
        <w:tc>
          <w:tcPr>
            <w:tcW w:w="5280" w:type="dxa"/>
          </w:tcPr>
          <w:p w14:paraId="2B68F665" w14:textId="77777777" w:rsidR="00D819DC" w:rsidRDefault="00000000">
            <w:pPr>
              <w:pStyle w:val="Compact"/>
            </w:pPr>
            <w:r>
              <w:t>Jump-to-Default risk</w:t>
            </w:r>
          </w:p>
        </w:tc>
      </w:tr>
      <w:tr w:rsidR="00D819DC" w14:paraId="2735E937" w14:textId="77777777">
        <w:tc>
          <w:tcPr>
            <w:tcW w:w="2640" w:type="dxa"/>
          </w:tcPr>
          <w:p w14:paraId="33EC9C6E" w14:textId="77777777" w:rsidR="00D819DC" w:rsidRDefault="00000000">
            <w:pPr>
              <w:pStyle w:val="Compact"/>
            </w:pPr>
            <w:r>
              <w:rPr>
                <w:b/>
                <w:bCs/>
              </w:rPr>
              <w:t>Pin Risk</w:t>
            </w:r>
          </w:p>
        </w:tc>
        <w:tc>
          <w:tcPr>
            <w:tcW w:w="5280" w:type="dxa"/>
          </w:tcPr>
          <w:p w14:paraId="173A009B" w14:textId="77777777" w:rsidR="00D819DC" w:rsidRDefault="00000000">
            <w:pPr>
              <w:pStyle w:val="Compact"/>
            </w:pPr>
            <w:r>
              <w:t>Greeks explosion near barrier prices</w:t>
            </w:r>
          </w:p>
        </w:tc>
      </w:tr>
      <w:tr w:rsidR="00D819DC" w14:paraId="5B7BCC28" w14:textId="77777777">
        <w:tc>
          <w:tcPr>
            <w:tcW w:w="2640" w:type="dxa"/>
          </w:tcPr>
          <w:p w14:paraId="5A40B194" w14:textId="77777777" w:rsidR="00D819DC" w:rsidRDefault="00000000">
            <w:pPr>
              <w:pStyle w:val="Compact"/>
            </w:pPr>
            <w:r>
              <w:rPr>
                <w:b/>
                <w:bCs/>
              </w:rPr>
              <w:t>RW</w:t>
            </w:r>
          </w:p>
        </w:tc>
        <w:tc>
          <w:tcPr>
            <w:tcW w:w="5280" w:type="dxa"/>
          </w:tcPr>
          <w:p w14:paraId="7EE9695B" w14:textId="77777777" w:rsidR="00D819DC" w:rsidRDefault="00000000">
            <w:pPr>
              <w:pStyle w:val="Compact"/>
            </w:pPr>
            <w:r>
              <w:t>Risk Weight</w:t>
            </w:r>
          </w:p>
        </w:tc>
      </w:tr>
      <w:tr w:rsidR="00D819DC" w14:paraId="210C3158" w14:textId="77777777">
        <w:tc>
          <w:tcPr>
            <w:tcW w:w="2640" w:type="dxa"/>
          </w:tcPr>
          <w:p w14:paraId="3753FD5D" w14:textId="77777777" w:rsidR="00D819DC" w:rsidRDefault="00000000">
            <w:pPr>
              <w:pStyle w:val="Compact"/>
            </w:pPr>
            <w:r>
              <w:rPr>
                <w:b/>
                <w:bCs/>
              </w:rPr>
              <w:t>SF(t)</w:t>
            </w:r>
          </w:p>
        </w:tc>
        <w:tc>
          <w:tcPr>
            <w:tcW w:w="5280" w:type="dxa"/>
          </w:tcPr>
          <w:p w14:paraId="2C2BA2AA" w14:textId="77777777" w:rsidR="00D819DC" w:rsidRDefault="00000000">
            <w:pPr>
              <w:pStyle w:val="Compact"/>
            </w:pPr>
            <w:r>
              <w:t>Scaling Function for curvature</w:t>
            </w:r>
          </w:p>
        </w:tc>
      </w:tr>
      <w:tr w:rsidR="00D819DC" w14:paraId="650C51CD" w14:textId="77777777">
        <w:tc>
          <w:tcPr>
            <w:tcW w:w="2640" w:type="dxa"/>
          </w:tcPr>
          <w:p w14:paraId="6BCDD1C9" w14:textId="77777777" w:rsidR="00D819DC" w:rsidRDefault="00000000">
            <w:pPr>
              <w:pStyle w:val="Compact"/>
            </w:pPr>
            <w:r>
              <w:rPr>
                <w:b/>
                <w:bCs/>
              </w:rPr>
              <w:t>WS</w:t>
            </w:r>
          </w:p>
        </w:tc>
        <w:tc>
          <w:tcPr>
            <w:tcW w:w="5280" w:type="dxa"/>
          </w:tcPr>
          <w:p w14:paraId="51F5FD89" w14:textId="77777777" w:rsidR="00D819DC" w:rsidRDefault="00000000">
            <w:pPr>
              <w:pStyle w:val="Compact"/>
            </w:pPr>
            <w:r>
              <w:t>Weighted Sensitivity</w:t>
            </w:r>
          </w:p>
        </w:tc>
      </w:tr>
    </w:tbl>
    <w:p w14:paraId="24AB07EE" w14:textId="77777777" w:rsidR="00D819DC" w:rsidRDefault="00000000">
      <w:r>
        <w:pict w14:anchorId="15C4AE83">
          <v:rect id="_x0000_i1033" style="width:0;height:1.5pt" o:hralign="center" o:hrstd="t" o:hr="t"/>
        </w:pict>
      </w:r>
    </w:p>
    <w:bookmarkEnd w:id="47"/>
    <w:p w14:paraId="505C02DC" w14:textId="3240FBDB" w:rsidR="00D819DC" w:rsidRDefault="00D819DC">
      <w:pPr>
        <w:pStyle w:val="FirstParagraph"/>
      </w:pPr>
    </w:p>
    <w:sectPr w:rsidR="00D819D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AC6F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AC81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2704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60804056">
    <w:abstractNumId w:val="0"/>
  </w:num>
  <w:num w:numId="2" w16cid:durableId="1870144519">
    <w:abstractNumId w:val="1"/>
  </w:num>
  <w:num w:numId="3" w16cid:durableId="915436052">
    <w:abstractNumId w:val="1"/>
  </w:num>
  <w:num w:numId="4" w16cid:durableId="2135171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DC"/>
    <w:rsid w:val="0019409C"/>
    <w:rsid w:val="00312CAC"/>
    <w:rsid w:val="00A1694D"/>
    <w:rsid w:val="00D8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BF0C"/>
  <w15:docId w15:val="{B01C741B-E0D2-467F-9359-5FDEE01A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1517</Words>
  <Characters>8650</Characters>
  <Application>Microsoft Office Word</Application>
  <DocSecurity>0</DocSecurity>
  <Lines>72</Lines>
  <Paragraphs>20</Paragraphs>
  <ScaleCrop>false</ScaleCrop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SIMM 2.8 Challenge Model Technical Specification</dc:title>
  <dc:creator>Risk Management Team</dc:creator>
  <cp:keywords/>
  <cp:lastModifiedBy>Liu, Nero Zheyu</cp:lastModifiedBy>
  <cp:revision>3</cp:revision>
  <dcterms:created xsi:type="dcterms:W3CDTF">2026-02-26T09:28:00Z</dcterms:created>
  <dcterms:modified xsi:type="dcterms:W3CDTF">2026-02-26T09:32:00Z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26, 2026</vt:lpwstr>
  </property>
  <property fmtid="{D5CDD505-2E9C-101B-9397-08002B2CF9AE}" pid="3" name="subtitle">
    <vt:lpwstr>Product-Level Verification Framework with Mathematical Circuit Breakers</vt:lpwstr>
  </property>
  <property fmtid="{D5CDD505-2E9C-101B-9397-08002B2CF9AE}" pid="4" name="version">
    <vt:lpwstr>1.1.0</vt:lpwstr>
  </property>
</Properties>
</file>