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SIMM 2.8 Challenge Model Technical Specification</w:t>
      </w:r>
    </w:p>
    <w:p>
      <w:pPr>
        <w:pStyle w:val="Subtitle"/>
      </w:pPr>
      <w:r>
        <w:t xml:space="preserve">Product-Level Verification Framework with Mathematical Circuit Breakers</w:t>
      </w:r>
    </w:p>
    <w:p>
      <w:pPr>
        <w:pStyle w:val="Author"/>
      </w:pPr>
      <w:r>
        <w:t xml:space="preserve">Risk Management Team</w:t>
      </w:r>
    </w:p>
    <w:p>
      <w:pPr>
        <w:pStyle w:val="Date"/>
      </w:pPr>
      <w:r>
        <w:t xml:space="preserve">February 26, 2026</w:t>
      </w:r>
    </w:p>
    <w:bookmarkStart w:id="1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document specifies the</w:t>
      </w:r>
      <w:r>
        <w:t xml:space="preserve"> </w:t>
      </w:r>
      <w:r>
        <w:rPr>
          <w:b/>
          <w:bCs/>
        </w:rPr>
        <w:t xml:space="preserve">SIMM 2.8 Challenge Model</w:t>
      </w:r>
      <w:r>
        <w:t xml:space="preserve">—an independent verification framework designed to validate Initial Margin calculations produced by the ISDA SIMM 2.8 methodology. The Challenge Model operates as a</w:t>
      </w:r>
      <w:r>
        <w:t xml:space="preserve"> </w:t>
      </w:r>
      <w:r>
        <w:t xml:space="preserve">“watchdog”</w:t>
      </w:r>
      <w:r>
        <w:t xml:space="preserve"> </w:t>
      </w:r>
      <w:r>
        <w:t xml:space="preserve">rather than a replacement, ensuring mathematical correctness and triggering circuit breakers when SIMM 2.8 formulas become inapplicable.</w:t>
      </w:r>
    </w:p>
    <w:bookmarkStart w:id="9" w:name="key-achievements"/>
    <w:p>
      <w:pPr>
        <w:pStyle w:val="Heading2"/>
      </w:pPr>
      <w:r>
        <w:t xml:space="preserve">Key Achievements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Four-Tier Challenge Strategy</w:t>
      </w:r>
      <w:r>
        <w:t xml:space="preserve">: Differential verification across Linear Products, Vanilla Options, Credit Derivatives, and Exotic Structures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Mathematical Circuit Breakers</w:t>
      </w:r>
      <w:r>
        <w:t xml:space="preserve">: ISDA-formula-based assertions (not black-box comparisons)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Fallback Mechanism</w:t>
      </w:r>
      <w:r>
        <w:t xml:space="preserve">: Automatic downgrade to Schedule-based method when SIMM 2.8 fails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Cross-Platform Compatibility</w:t>
      </w:r>
      <w:r>
        <w:t xml:space="preserve">: Pure Python implementation, Windows/macOS/Linux support</w:t>
      </w:r>
    </w:p>
    <w:bookmarkEnd w:id="9"/>
    <w:bookmarkStart w:id="10" w:name="version-1.1.0-updates-excel-alignment"/>
    <w:p>
      <w:pPr>
        <w:pStyle w:val="Heading2"/>
      </w:pPr>
      <w:r>
        <w:t xml:space="preserve">Version 1.1.0 Updates (Excel Alignment)</w:t>
      </w:r>
    </w:p>
    <w:p>
      <w:pPr>
        <w:pStyle w:val="FirstParagraph"/>
      </w:pPr>
      <w:r>
        <w:t xml:space="preserve">Based on SPEC_EN vs Excel requirements analysis, this version adds: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1</w:t>
      </w:r>
      <w:r>
        <w:t xml:space="preserve">: Cross Currency Swap (with ARR features)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2</w:t>
      </w:r>
      <w:r>
        <w:t xml:space="preserve">: Time Option (Option Dated Forward)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4</w:t>
      </w:r>
      <w:r>
        <w:t xml:space="preserve">: Extended barrier types (RKO, RKI, KIKO)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4</w:t>
      </w:r>
      <w:r>
        <w:t xml:space="preserve">: New TARF variants (Pivot TARF, Digital TARF)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4</w:t>
      </w:r>
      <w:r>
        <w:t xml:space="preserve">: Digital Range Option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 4</w:t>
      </w:r>
      <w:r>
        <w:t xml:space="preserve">: EKI/Non-EKI distinction for TARF margin floors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architecture-overview"/>
    <w:p>
      <w:pPr>
        <w:pStyle w:val="Heading1"/>
      </w:pPr>
      <w:r>
        <w:t xml:space="preserve">1. Architecture Overview</w:t>
      </w:r>
    </w:p>
    <w:bookmarkStart w:id="12" w:name="design-philosophy"/>
    <w:p>
      <w:pPr>
        <w:pStyle w:val="Heading2"/>
      </w:pPr>
      <w:r>
        <w:t xml:space="preserve">1.1 Design Philosophy</w:t>
      </w:r>
    </w:p>
    <w:p>
      <w:pPr>
        <w:pStyle w:val="FirstParagraph"/>
      </w:pPr>
      <w:r>
        <w:t xml:space="preserve">The Challenge Model follows a</w:t>
      </w:r>
      <w:r>
        <w:t xml:space="preserve"> </w:t>
      </w:r>
      <w:r>
        <w:rPr>
          <w:b/>
          <w:bCs/>
        </w:rPr>
        <w:t xml:space="preserve">dual-track calculation</w:t>
      </w:r>
      <w:r>
        <w:t xml:space="preserve"> </w:t>
      </w:r>
      <w:r>
        <w:t xml:space="preserve">approach: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Trade Input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│              │              │</w:t>
      </w:r>
      <w:r>
        <w:br/>
      </w:r>
      <w:r>
        <w:rPr>
          <w:rStyle w:val="VerbatimChar"/>
        </w:rPr>
        <w:t xml:space="preserve">           ▼              ▼              ▼</w:t>
      </w:r>
      <w:r>
        <w:br/>
      </w:r>
      <w:r>
        <w:rPr>
          <w:rStyle w:val="VerbatimChar"/>
        </w:rPr>
        <w:t xml:space="preserve">┌────────────────┐ ┌────────────────┐ ┌────────────────┐</w:t>
      </w:r>
      <w:r>
        <w:br/>
      </w:r>
      <w:r>
        <w:rPr>
          <w:rStyle w:val="VerbatimChar"/>
        </w:rPr>
        <w:t xml:space="preserve">│   SIMM 2.8     │ │    Challenge   │ │   Schedule-    │</w:t>
      </w:r>
      <w:r>
        <w:br/>
      </w:r>
      <w:r>
        <w:rPr>
          <w:rStyle w:val="VerbatimChar"/>
        </w:rPr>
        <w:t xml:space="preserve">│   (Official)   │ │     Model      │ │   Based        │</w:t>
      </w:r>
      <w:r>
        <w:br/>
      </w:r>
      <w:r>
        <w:rPr>
          <w:rStyle w:val="VerbatimChar"/>
        </w:rPr>
        <w:t xml:space="preserve">│                │ │ (Independent)  │ │  (Fallback)    │</w:t>
      </w:r>
      <w:r>
        <w:br/>
      </w:r>
      <w:r>
        <w:rPr>
          <w:rStyle w:val="VerbatimChar"/>
        </w:rPr>
        <w:t xml:space="preserve">└───────┬────────┘ └───────┬────────┘ └───────┬────────┘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└──────────────────┼──────────────────┘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│ Comparison Engine  │</w:t>
      </w:r>
      <w:r>
        <w:br/>
      </w:r>
      <w:r>
        <w:rPr>
          <w:rStyle w:val="VerbatimChar"/>
        </w:rPr>
        <w:t xml:space="preserve">                │  (Mathematical     │</w:t>
      </w:r>
      <w:r>
        <w:br/>
      </w:r>
      <w:r>
        <w:rPr>
          <w:rStyle w:val="VerbatimChar"/>
        </w:rPr>
        <w:t xml:space="preserve">                │   Assertions)      │</w:t>
      </w:r>
      <w:r>
        <w:br/>
      </w:r>
      <w:r>
        <w:rPr>
          <w:rStyle w:val="VerbatimChar"/>
        </w:rPr>
        <w:t xml:space="preserve">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│  Circuit Breaker   │</w:t>
      </w:r>
      <w:r>
        <w:br/>
      </w:r>
      <w:r>
        <w:rPr>
          <w:rStyle w:val="VerbatimChar"/>
        </w:rPr>
        <w:t xml:space="preserve">                │ (Trigger if SIMM   │</w:t>
      </w:r>
      <w:r>
        <w:br/>
      </w:r>
      <w:r>
        <w:rPr>
          <w:rStyle w:val="VerbatimChar"/>
        </w:rPr>
        <w:t xml:space="preserve">                │  is invalid)       │</w:t>
      </w:r>
      <w:r>
        <w:br/>
      </w:r>
      <w:r>
        <w:rPr>
          <w:rStyle w:val="VerbatimChar"/>
        </w:rPr>
        <w:t xml:space="preserve">                └────────────────────┘</w:t>
      </w:r>
    </w:p>
    <w:bookmarkEnd w:id="12"/>
    <w:bookmarkStart w:id="13" w:name="core-components"/>
    <w:p>
      <w:pPr>
        <w:pStyle w:val="Heading2"/>
      </w:pPr>
      <w:r>
        <w:t xml:space="preserve">1.2 Core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0"/>
        <w:gridCol w:w="19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ProductClassifier</w:t>
            </w:r>
          </w:p>
        </w:tc>
        <w:tc>
          <w:tcPr/>
          <w:p>
            <w:pPr>
              <w:pStyle w:val="Compact"/>
            </w:pPr>
            <w:r>
              <w:t xml:space="preserve">Route products to appropriate Challenge tier</w:t>
            </w:r>
          </w:p>
        </w:tc>
        <w:tc>
          <w:tcPr/>
          <w:p>
            <w:pPr>
              <w:pStyle w:val="Compact"/>
            </w:pPr>
            <w:r>
              <w:t xml:space="preserve">Rule-based classifier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LinearChallenge</w:t>
            </w:r>
          </w:p>
        </w:tc>
        <w:tc>
          <w:tcPr/>
          <w:p>
            <w:pPr>
              <w:pStyle w:val="Compact"/>
            </w:pPr>
            <w:r>
              <w:t xml:space="preserve">Verify Delta aggregation (Section C.1)</w:t>
            </w:r>
          </w:p>
        </w:tc>
        <w:tc>
          <w:tcPr/>
          <w:p>
            <w:pPr>
              <w:pStyle w:val="Compact"/>
            </w:pPr>
            <w:r>
              <w:t xml:space="preserve">Mathematical bounds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VanillaOptionChallenge</w:t>
            </w:r>
          </w:p>
        </w:tc>
        <w:tc>
          <w:tcPr/>
          <w:p>
            <w:pPr>
              <w:pStyle w:val="Compact"/>
            </w:pPr>
            <w:r>
              <w:t xml:space="preserve">Validate Curvature formula (Section 11)</w:t>
            </w:r>
          </w:p>
        </w:tc>
        <w:tc>
          <w:tcPr/>
          <w:p>
            <w:pPr>
              <w:pStyle w:val="Compact"/>
            </w:pPr>
            <w:r>
              <w:t xml:space="preserve">Vega-Gamma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CreditChallenge</w:t>
            </w:r>
          </w:p>
        </w:tc>
        <w:tc>
          <w:tcPr/>
          <w:p>
            <w:pPr>
              <w:pStyle w:val="Compact"/>
            </w:pPr>
            <w:r>
              <w:t xml:space="preserve">Check CRQ/CRNQ classification (Section C.3)</w:t>
            </w:r>
          </w:p>
        </w:tc>
        <w:tc>
          <w:tcPr/>
          <w:p>
            <w:pPr>
              <w:pStyle w:val="Compact"/>
            </w:pPr>
            <w:r>
              <w:t xml:space="preserve">Rating-to-RW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ExoticCircuitBreaker</w:t>
            </w:r>
          </w:p>
        </w:tc>
        <w:tc>
          <w:tcPr/>
          <w:p>
            <w:pPr>
              <w:pStyle w:val="Compact"/>
            </w:pPr>
            <w:r>
              <w:t xml:space="preserve">Detect formula inapplicability</w:t>
            </w:r>
          </w:p>
        </w:tc>
        <w:tc>
          <w:tcPr/>
          <w:p>
            <w:pPr>
              <w:pStyle w:val="Compact"/>
            </w:pPr>
            <w:r>
              <w:t xml:space="preserve">Pin Risk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4" w:name="tier-1-linear-products-challenge"/>
    <w:p>
      <w:pPr>
        <w:pStyle w:val="Heading1"/>
      </w:pPr>
      <w:r>
        <w:t xml:space="preserve">2. Tier 1: Linear Products Challenge</w:t>
      </w:r>
    </w:p>
    <w:bookmarkStart w:id="16" w:name="scope"/>
    <w:p>
      <w:pPr>
        <w:pStyle w:val="Heading2"/>
      </w:pPr>
      <w:r>
        <w:t xml:space="preserve">2.1 Scope</w:t>
      </w:r>
    </w:p>
    <w:p>
      <w:pPr>
        <w:pStyle w:val="FirstParagraph"/>
      </w:pPr>
      <w:r>
        <w:rPr>
          <w:b/>
          <w:bCs/>
        </w:rPr>
        <w:t xml:space="preserve">Applicable Products</w:t>
      </w:r>
      <w:r>
        <w:t xml:space="preserve">: FX Forward, FX Swap, NDF, IRS, Basis Swap, Cross Currency Swap (with ARR features)</w:t>
      </w:r>
    </w:p>
    <w:p>
      <w:pPr>
        <w:pStyle w:val="BodyText"/>
      </w:pPr>
      <w:r>
        <w:rPr>
          <w:b/>
          <w:bCs/>
        </w:rPr>
        <w:t xml:space="preserve">ISDA SIMM 2.8 References</w:t>
      </w:r>
      <w:r>
        <w:t xml:space="preserve">:</w:t>
      </w:r>
      <w:r>
        <w:t xml:space="preserve"> </w:t>
      </w:r>
      <w:r>
        <w:t xml:space="preserve">- Section C.1: Delta Risk</w:t>
      </w:r>
      <w:r>
        <w:t xml:space="preserve"> </w:t>
      </w:r>
      <w:r>
        <w:t xml:space="preserve">- Section 4: Aggregation Formula</w:t>
      </w:r>
      <w:r>
        <w:t xml:space="preserve"> </w:t>
      </w:r>
      <w:r>
        <w:t xml:space="preserve">- Table 1: Risk Weights</w:t>
      </w:r>
      <w:r>
        <w:t xml:space="preserve"> </w:t>
      </w:r>
      <w:r>
        <w:t xml:space="preserve">- Table 4: Correlation Coefficients</w:t>
      </w:r>
    </w:p>
    <w:bookmarkStart w:id="15" w:name="product-coverage-matrix"/>
    <w:p>
      <w:pPr>
        <w:pStyle w:val="Heading3"/>
      </w:pPr>
      <w:r>
        <w:t xml:space="preserve">Product Coverage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ARR Support</w:t>
            </w:r>
          </w:p>
        </w:tc>
        <w:tc>
          <w:tcPr/>
          <w:p>
            <w:pPr>
              <w:pStyle w:val="Compact"/>
            </w:pPr>
            <w:r>
              <w:t xml:space="preserve">Risk Weight Adjustment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Forward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Standard FX RW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 Swap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Standard FX RW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Standard FX RW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+2% for ARR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 Swap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+2% for ARR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 Currency Swap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FX RW with basis adjustment</w:t>
            </w:r>
          </w:p>
        </w:tc>
      </w:tr>
    </w:tbl>
    <w:bookmarkEnd w:id="15"/>
    <w:bookmarkEnd w:id="16"/>
    <w:bookmarkStart w:id="19" w:name="official-simm-2.8-formulas"/>
    <w:p>
      <w:pPr>
        <w:pStyle w:val="Heading2"/>
      </w:pPr>
      <w:r>
        <w:t xml:space="preserve">2.2 Official SIMM 2.8 Formulas</w:t>
      </w:r>
    </w:p>
    <w:bookmarkStart w:id="17" w:name="weighted-sensitivity"/>
    <w:p>
      <w:pPr>
        <w:pStyle w:val="Heading3"/>
      </w:pPr>
      <w:r>
        <w:t xml:space="preserve">Weighted Sensitivity</w:t>
      </w:r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R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t>C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W</m:t>
        </m:r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Weighted Sensitivity for bucket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Risk Weight (from Table 1)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Sensitivity (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x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= Concentration Risk factor</w:t>
      </w:r>
    </w:p>
    <w:bookmarkEnd w:id="17"/>
    <w:bookmarkStart w:id="18" w:name="aggregation-formula"/>
    <w:p>
      <w:pPr>
        <w:pStyle w:val="Heading3"/>
      </w:pPr>
      <w:r>
        <w:t xml:space="preserve">Aggregation Formula</w:t>
      </w:r>
    </w:p>
    <w:p>
      <w:pPr>
        <w:pStyle w:val="FirstParagraph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sSubSup>
                <m:e>
                  <m:r>
                    <m:t>S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≠</m:t>
                      </m:r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k</m:t>
                          </m:r>
                          <m:r>
                            <m:t>l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t>W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W</m:t>
              </m:r>
              <m:sSub>
                <m:e>
                  <m:r>
                    <m:t>S</m:t>
                  </m:r>
                </m:e>
                <m:sub>
                  <m:r>
                    <m:t>l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Total Margin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ρ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= Correlation coefficient between buckets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bookmarkEnd w:id="18"/>
    <w:bookmarkEnd w:id="19"/>
    <w:bookmarkStart w:id="23" w:name="challenge-verification-points"/>
    <w:p>
      <w:pPr>
        <w:pStyle w:val="Heading2"/>
      </w:pPr>
      <w:r>
        <w:t xml:space="preserve">2.3 Challenge Verification Points</w:t>
      </w:r>
    </w:p>
    <w:bookmarkStart w:id="20" w:name="check-1-risk-weight-consistency"/>
    <w:p>
      <w:pPr>
        <w:pStyle w:val="Heading3"/>
      </w:pPr>
      <w:r>
        <w:t xml:space="preserve">Check 1: Risk Weight Consistency</w:t>
      </w:r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 SIMM-calculated</w:t>
      </w:r>
      <w:r>
        <w:t xml:space="preserve"> </w:t>
      </w:r>
      <m:oMath>
        <m:r>
          <m:t>R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must match Table 1 values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simm</m:t>
              </m:r>
            </m:sub>
          </m:sSub>
          <m:r>
            <m:rPr>
              <m:sty m:val="p"/>
            </m:rPr>
            <m:t>−</m:t>
          </m:r>
          <m:r>
            <m:t>R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table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0.001</m:t>
          </m:r>
        </m:oMath>
      </m:oMathPara>
    </w:p>
    <w:p>
      <w:pPr>
        <w:pStyle w:val="FirstParagraph"/>
      </w:pPr>
      <w:r>
        <w:rPr>
          <w:b/>
          <w:bCs/>
        </w:rPr>
        <w:t xml:space="preserve">Risk Weights (Table 1)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Class</w:t>
            </w:r>
          </w:p>
        </w:tc>
        <w:tc>
          <w:tcPr/>
          <w:p>
            <w:pPr>
              <w:pStyle w:val="Compact"/>
            </w:pPr>
            <w:r>
              <w:t xml:space="preserve">Risk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(Qualifying)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(Non-Qualifying)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Commodity</w:t>
            </w:r>
          </w:p>
        </w:tc>
        <w:tc>
          <w:tcPr/>
          <w:p>
            <w:pPr>
              <w:pStyle w:val="Compact"/>
            </w:pPr>
            <w:r>
              <w:t xml:space="preserve">18.0%</w:t>
            </w:r>
          </w:p>
        </w:tc>
      </w:tr>
    </w:tbl>
    <w:bookmarkEnd w:id="20"/>
    <w:bookmarkStart w:id="21" w:name="check-2-subadditivity-bound"/>
    <w:p>
      <w:pPr>
        <w:pStyle w:val="Heading3"/>
      </w:pPr>
      <w:r>
        <w:t xml:space="preserve">Check 2: Subadditivity Bound</w:t>
      </w:r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 Aggregated margin cannot exceed sum of absolute weighted sensitivities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≤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W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rPr>
              <m:sty m:val="p"/>
            </m:rPr>
            <m:t>×</m:t>
          </m:r>
          <m:r>
            <m:t>1.01</m:t>
          </m:r>
        </m:oMath>
      </m:oMathPara>
    </w:p>
    <w:p>
      <w:pPr>
        <w:pStyle w:val="FirstParagraph"/>
      </w:pPr>
      <w:r>
        <w:rPr>
          <w:b/>
          <w:bCs/>
        </w:rPr>
        <w:t xml:space="preserve">Mathematical Basis</w:t>
      </w:r>
      <w:r>
        <w:t xml:space="preserve">: SIMM aggregation satisfies subadditivity; numerical tolerance of 1% allowed.</w:t>
      </w:r>
    </w:p>
    <w:bookmarkEnd w:id="21"/>
    <w:bookmarkStart w:id="22" w:name="check-3-delta-sign-consistency"/>
    <w:p>
      <w:pPr>
        <w:pStyle w:val="Heading3"/>
      </w:pPr>
      <w:r>
        <w:t xml:space="preserve">Check 3: Delta Sign Consistency</w:t>
      </w:r>
    </w:p>
    <w:p>
      <w:pPr>
        <w:pStyle w:val="FirstParagraph"/>
      </w:pPr>
      <w:r>
        <w:rPr>
          <w:b/>
          <w:bCs/>
        </w:rPr>
        <w:t xml:space="preserve">IRS Example</w:t>
      </w:r>
      <w:r>
        <w:t xml:space="preserve">:</w:t>
      </w:r>
      <w:r>
        <w:t xml:space="preserve"> </w:t>
      </w:r>
      <w:r>
        <w:t xml:space="preserve">- Pay Fixed: PV01 should be negative (rates up → value down)</w:t>
      </w:r>
      <w:r>
        <w:t xml:space="preserve"> </w:t>
      </w:r>
      <w:r>
        <w:t xml:space="preserve">- Receive Fixed: PV01 should be positive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4" w:name="tier-2-vanilla-option-challenge"/>
    <w:p>
      <w:pPr>
        <w:pStyle w:val="Heading1"/>
      </w:pPr>
      <w:r>
        <w:t xml:space="preserve">3. Tier 2: Vanilla Option Challenge</w:t>
      </w:r>
    </w:p>
    <w:bookmarkStart w:id="26" w:name="scope-1"/>
    <w:p>
      <w:pPr>
        <w:pStyle w:val="Heading2"/>
      </w:pPr>
      <w:r>
        <w:t xml:space="preserve">3.1 Scope</w:t>
      </w:r>
    </w:p>
    <w:p>
      <w:pPr>
        <w:pStyle w:val="FirstParagraph"/>
      </w:pPr>
      <w:r>
        <w:rPr>
          <w:b/>
          <w:bCs/>
        </w:rPr>
        <w:t xml:space="preserve">Applicable Products</w:t>
      </w:r>
      <w:r>
        <w:t xml:space="preserve">: Vanilla Option, Swaption, Gold Option, Time Option (Option Dated Forward)</w:t>
      </w:r>
    </w:p>
    <w:p>
      <w:pPr>
        <w:pStyle w:val="BodyText"/>
      </w:pPr>
      <w:r>
        <w:rPr>
          <w:b/>
          <w:bCs/>
        </w:rPr>
        <w:t xml:space="preserve">ISDA SIMM 2.8 References</w:t>
      </w:r>
      <w:r>
        <w:t xml:space="preserve">:</w:t>
      </w:r>
      <w:r>
        <w:t xml:space="preserve"> </w:t>
      </w:r>
      <w:r>
        <w:t xml:space="preserve">- Section C.8: Curvature Risk</w:t>
      </w:r>
      <w:r>
        <w:t xml:space="preserve"> </w:t>
      </w:r>
      <w:r>
        <w:t xml:space="preserve">- Section 11(a): Curvature for Vanilla Options</w:t>
      </w:r>
    </w:p>
    <w:bookmarkStart w:id="25" w:name="extended-vanilla-option-features"/>
    <w:p>
      <w:pPr>
        <w:pStyle w:val="Heading3"/>
      </w:pPr>
      <w:r>
        <w:t xml:space="preserve">Extended Vanilla Option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Challenge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Style</w:t>
            </w:r>
          </w:p>
        </w:tc>
        <w:tc>
          <w:tcPr/>
          <w:p>
            <w:pPr>
              <w:pStyle w:val="Compact"/>
            </w:pPr>
            <w:r>
              <w:t xml:space="preserve">Standard vanilla</w:t>
            </w:r>
          </w:p>
        </w:tc>
        <w:tc>
          <w:tcPr/>
          <w:p>
            <w:pPr>
              <w:pStyle w:val="Compact"/>
            </w:pPr>
            <w:r>
              <w:t xml:space="preserve">Vega-Gamma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Option</w:t>
            </w:r>
          </w:p>
        </w:tc>
        <w:tc>
          <w:tcPr/>
          <w:p>
            <w:pPr>
              <w:pStyle w:val="Compact"/>
            </w:pPr>
            <w:r>
              <w:t xml:space="preserve">Option Dated Forward</w:t>
            </w:r>
          </w:p>
        </w:tc>
        <w:tc>
          <w:tcPr/>
          <w:p>
            <w:pPr>
              <w:pStyle w:val="Compact"/>
            </w:pPr>
            <w:r>
              <w:t xml:space="preserve">Forward-like delta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Barrier Variants</w:t>
            </w:r>
          </w:p>
        </w:tc>
        <w:tc>
          <w:tcPr/>
          <w:p>
            <w:pPr>
              <w:pStyle w:val="Compact"/>
            </w:pPr>
            <w:r>
              <w:t xml:space="preserve">Up/Down In/Out</w:t>
            </w:r>
          </w:p>
        </w:tc>
        <w:tc>
          <w:tcPr/>
          <w:p>
            <w:pPr>
              <w:pStyle w:val="Compact"/>
            </w:pPr>
            <w:r>
              <w:t xml:space="preserve">Barrier distance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Payout Currency</w:t>
            </w:r>
          </w:p>
        </w:tc>
        <w:tc>
          <w:tcPr/>
          <w:p>
            <w:pPr>
              <w:pStyle w:val="Compact"/>
            </w:pPr>
            <w:r>
              <w:t xml:space="preserve">Domestic/Foreign</w:t>
            </w:r>
          </w:p>
        </w:tc>
        <w:tc>
          <w:tcPr/>
          <w:p>
            <w:pPr>
              <w:pStyle w:val="Compact"/>
            </w:pPr>
            <w:r>
              <w:t xml:space="preserve">FX delta adjustment</w:t>
            </w:r>
          </w:p>
        </w:tc>
      </w:tr>
    </w:tbl>
    <w:bookmarkEnd w:id="25"/>
    <w:bookmarkEnd w:id="26"/>
    <w:bookmarkStart w:id="29" w:name="official-simm-2.8-curvature-formula"/>
    <w:p>
      <w:pPr>
        <w:pStyle w:val="Heading2"/>
      </w:pPr>
      <w:r>
        <w:t xml:space="preserve">3.2 Official SIMM 2.8 Curvature Formula</w:t>
      </w:r>
    </w:p>
    <w:bookmarkStart w:id="27" w:name="curvature-risk-charge"/>
    <w:p>
      <w:pPr>
        <w:pStyle w:val="Heading3"/>
      </w:pPr>
      <w:r>
        <w:t xml:space="preserve">Curvature Risk Charge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V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σ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σ</m:t>
              </m:r>
            </m:den>
          </m:f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t>V</m:t>
        </m:r>
        <m:sSub>
          <m:e>
            <m:r>
              <m:t>R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= Curvature Risk for instrument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 bucket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S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= Scaling Function</w:t>
      </w:r>
      <w:r>
        <w:t xml:space="preserve"> </w:t>
      </w:r>
      <w:r>
        <w:t xml:space="preserve">-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= Implied Volatility</w:t>
      </w:r>
      <w:r>
        <w:t xml:space="preserve"> </w:t>
      </w:r>
      <w:r>
        <w:t xml:space="preserve">-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V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 </w:t>
      </w:r>
      <w:r>
        <w:t xml:space="preserve">= Vega</w:t>
      </w:r>
    </w:p>
    <w:bookmarkEnd w:id="27"/>
    <w:bookmarkStart w:id="28" w:name="scaling-function"/>
    <w:p>
      <w:pPr>
        <w:pStyle w:val="Heading3"/>
      </w:pPr>
      <w:r>
        <w:t xml:space="preserve">Scaling Function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t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Time to maturity in days</w:t>
      </w:r>
      <w:r>
        <w:t xml:space="preserve"> </w:t>
      </w:r>
      <w:r>
        <w:t xml:space="preserve">- 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14</m:t>
        </m:r>
      </m:oMath>
      <w:r>
        <w:t xml:space="preserve"> </w:t>
      </w:r>
      <w:r>
        <w:t xml:space="preserve">days:</w:t>
      </w:r>
      <w:r>
        <w:t xml:space="preserve"> </w:t>
      </w:r>
      <m:oMath>
        <m:r>
          <m:t>S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14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-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14</m:t>
        </m:r>
      </m:oMath>
      <w:r>
        <w:t xml:space="preserve"> </w:t>
      </w:r>
      <w:r>
        <w:t xml:space="preserve">days:</w:t>
      </w:r>
      <w:r>
        <w:t xml:space="preserve"> </w:t>
      </w:r>
      <m:oMath>
        <m:r>
          <m:t>S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</w:p>
    <w:bookmarkEnd w:id="28"/>
    <w:bookmarkEnd w:id="29"/>
    <w:bookmarkStart w:id="33" w:name="challenge-verification-points-1"/>
    <w:p>
      <w:pPr>
        <w:pStyle w:val="Heading2"/>
      </w:pPr>
      <w:r>
        <w:t xml:space="preserve">3.3 Challenge Verification Points</w:t>
      </w:r>
    </w:p>
    <w:bookmarkStart w:id="30" w:name="check-1-scaling-function-accuracy"/>
    <w:p>
      <w:pPr>
        <w:pStyle w:val="Heading3"/>
      </w:pPr>
      <w:r>
        <w:t xml:space="preserve">Check 1: Scaling Function Accuracy</w:t>
      </w:r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 Applied</w:t>
      </w:r>
      <w:r>
        <w:t xml:space="preserve"> </w:t>
      </w:r>
      <m:oMath>
        <m:r>
          <m:t>S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must match formula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S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applied</m:t>
              </m:r>
            </m:sub>
          </m:sSub>
          <m:r>
            <m:rPr>
              <m:sty m:val="p"/>
            </m:rPr>
            <m:t>−</m:t>
          </m:r>
          <m:r>
            <m:t>S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formula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0.01</m:t>
          </m:r>
        </m:oMath>
      </m:oMathPara>
    </w:p>
    <w:p>
      <w:pPr>
        <w:pStyle w:val="FirstParagraph"/>
      </w:pPr>
      <w:r>
        <w:rPr>
          <w:b/>
          <w:bCs/>
        </w:rPr>
        <w:t xml:space="preserve">Example Calculation</w:t>
      </w:r>
      <w:r>
        <w:t xml:space="preserve">:</w:t>
      </w:r>
    </w:p>
    <w:p>
      <w:pPr>
        <w:pStyle w:val="BodyText"/>
      </w:pPr>
      <w:r>
        <w:t xml:space="preserve">For 7-day option: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7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=</m:t>
          </m:r>
          <m:r>
            <m:t>1.0</m:t>
          </m:r>
        </m:oMath>
      </m:oMathPara>
    </w:p>
    <w:p>
      <w:pPr>
        <w:pStyle w:val="FirstParagraph"/>
      </w:pPr>
      <w:r>
        <w:t xml:space="preserve">For 30-day option: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30</m:t>
                  </m:r>
                </m:den>
              </m:f>
            </m:e>
          </m:d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0.467</m:t>
          </m:r>
          <m:r>
            <m:rPr>
              <m:sty m:val="p"/>
            </m:rPr>
            <m:t>=</m:t>
          </m:r>
          <m:r>
            <m:t>0.233</m:t>
          </m:r>
        </m:oMath>
      </m:oMathPara>
    </w:p>
    <w:bookmarkEnd w:id="30"/>
    <w:bookmarkStart w:id="31" w:name="check-2-vega-gamma-relationship"/>
    <w:p>
      <w:pPr>
        <w:pStyle w:val="Heading3"/>
      </w:pPr>
      <w:r>
        <w:t xml:space="preserve">Check 2: Vega-Gamma Relationship</w:t>
      </w:r>
    </w:p>
    <w:p>
      <w:pPr>
        <w:pStyle w:val="FirstParagraph"/>
      </w:pPr>
      <w:r>
        <w:rPr>
          <w:b/>
          <w:bCs/>
        </w:rPr>
        <w:t xml:space="preserve">Theoretical Relationship</w:t>
      </w:r>
      <w:r>
        <w:t xml:space="preserve"> </w:t>
      </w:r>
      <w:r>
        <w:t xml:space="preserve">(for vanilla options):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Vega</m:t>
              </m:r>
            </m:num>
            <m:den>
              <m:r>
                <m:t>S</m:t>
              </m:r>
              <m:r>
                <m:rPr>
                  <m:sty m:val="p"/>
                </m:rPr>
                <m:t>⋅</m:t>
              </m:r>
              <m:r>
                <m:t>σ</m:t>
              </m:r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τ</m:t>
                  </m:r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Challenge Assertion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0.5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>
                      <m:nor/>
                      <m:sty m:val="p"/>
                    </m:rPr>
                    <m:t>actual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>
                      <m:nor/>
                      <m:sty m:val="p"/>
                    </m:rPr>
                    <m:t>theory</m:t>
                  </m:r>
                </m:sub>
              </m:sSub>
            </m:den>
          </m:f>
          <m:r>
            <m:rPr>
              <m:sty m:val="p"/>
            </m:rPr>
            <m:t>≤</m:t>
          </m:r>
          <m:r>
            <m:t>2.0</m:t>
          </m:r>
        </m:oMath>
      </m:oMathPara>
    </w:p>
    <w:p>
      <w:pPr>
        <w:pStyle w:val="FirstParagraph"/>
      </w:pPr>
      <w:r>
        <w:t xml:space="preserve">Deviation indicates option characteristics diverge from vanilla assumptions.</w:t>
      </w:r>
    </w:p>
    <w:bookmarkEnd w:id="31"/>
    <w:bookmarkStart w:id="32" w:name="check-3-cvr-upper-bound"/>
    <w:p>
      <w:pPr>
        <w:pStyle w:val="Heading3"/>
      </w:pPr>
      <w:r>
        <w:t xml:space="preserve">Check 3: CVR Upper Bound</w:t>
      </w:r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 Curvature Risk should not exceed reasonable multiples of notional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t>R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Notional</m:t>
          </m:r>
          <m:r>
            <m:rPr>
              <m:sty m:val="p"/>
            </m:rPr>
            <m:t>×</m:t>
          </m:r>
          <m:r>
            <m:t>σ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r>
                <m:t>τ</m:t>
              </m:r>
            </m:e>
          </m:rad>
          <m:r>
            <m:rPr>
              <m:sty m:val="p"/>
            </m:rPr>
            <m:t>×</m:t>
          </m:r>
          <m:r>
            <m:t>2</m:t>
          </m:r>
        </m:oMath>
      </m:oMathPara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43" w:name="tier-3-credit-product-challenge"/>
    <w:p>
      <w:pPr>
        <w:pStyle w:val="Heading1"/>
      </w:pPr>
      <w:r>
        <w:t xml:space="preserve">4. Tier 3: Credit Product Challenge</w:t>
      </w:r>
    </w:p>
    <w:bookmarkStart w:id="35" w:name="scope-2"/>
    <w:p>
      <w:pPr>
        <w:pStyle w:val="Heading2"/>
      </w:pPr>
      <w:r>
        <w:t xml:space="preserve">4.1 Scope</w:t>
      </w:r>
    </w:p>
    <w:p>
      <w:pPr>
        <w:pStyle w:val="FirstParagraph"/>
      </w:pPr>
      <w:r>
        <w:rPr>
          <w:b/>
          <w:bCs/>
        </w:rPr>
        <w:t xml:space="preserve">Applicable Products</w:t>
      </w:r>
      <w:r>
        <w:t xml:space="preserve">: CDS, CDS Index</w:t>
      </w:r>
    </w:p>
    <w:p>
      <w:pPr>
        <w:pStyle w:val="BodyText"/>
      </w:pPr>
      <w:r>
        <w:rPr>
          <w:b/>
          <w:bCs/>
        </w:rPr>
        <w:t xml:space="preserve">ISDA SIMM 2.8 References</w:t>
      </w:r>
      <w:r>
        <w:t xml:space="preserve">:</w:t>
      </w:r>
      <w:r>
        <w:t xml:space="preserve"> </w:t>
      </w:r>
      <w:r>
        <w:t xml:space="preserve">- Section C.3: Credit Spread Risk</w:t>
      </w:r>
      <w:r>
        <w:t xml:space="preserve"> </w:t>
      </w:r>
      <w:r>
        <w:t xml:space="preserve">- Table 2: Credit Quality Classification</w:t>
      </w:r>
    </w:p>
    <w:bookmarkEnd w:id="35"/>
    <w:bookmarkStart w:id="38" w:name="official-simm-2.8-credit-classification"/>
    <w:p>
      <w:pPr>
        <w:pStyle w:val="Heading2"/>
      </w:pPr>
      <w:r>
        <w:t xml:space="preserve">4.2 Official SIMM 2.8 Credit Classification</w:t>
      </w:r>
    </w:p>
    <w:bookmarkStart w:id="36" w:name="credit-quality-mapping"/>
    <w:p>
      <w:pPr>
        <w:pStyle w:val="Heading3"/>
      </w:pPr>
      <w:r>
        <w:t xml:space="preserve">Credit Quality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Risk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AAA</w:t>
            </w:r>
          </w:p>
        </w:tc>
        <w:tc>
          <w:tcPr/>
          <w:p>
            <w:pPr>
              <w:pStyle w:val="Compact"/>
            </w:pPr>
            <w:r>
              <w:t xml:space="preserve">IG (Qualifying)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IG (Qualifying)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IG (Qualifying)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IG (Qualifying)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</w:t>
            </w:r>
          </w:p>
        </w:tc>
        <w:tc>
          <w:tcPr/>
          <w:p>
            <w:pPr>
              <w:pStyle w:val="Compact"/>
            </w:pPr>
            <w:r>
              <w:t xml:space="preserve">HY (Non-Qualifying)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HY (Non-Qualifying)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CCC</w:t>
            </w:r>
          </w:p>
        </w:tc>
        <w:tc>
          <w:tcPr/>
          <w:p>
            <w:pPr>
              <w:pStyle w:val="Compact"/>
            </w:pPr>
            <w:r>
              <w:t xml:space="preserve">HY (Non-Qualifying)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Relationship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sSub>
            <m:e>
              <m:r>
                <m:t>W</m:t>
              </m:r>
            </m:e>
            <m:sub>
              <m:r>
                <m:t>H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R</m:t>
          </m:r>
          <m:sSub>
            <m:e>
              <m:r>
                <m:t>W</m:t>
              </m:r>
            </m:e>
            <m:sub>
              <m:r>
                <m:t>I</m:t>
              </m:r>
              <m:r>
                <m:t>G</m:t>
              </m:r>
            </m:sub>
          </m:sSub>
        </m:oMath>
      </m:oMathPara>
    </w:p>
    <w:bookmarkEnd w:id="36"/>
    <w:bookmarkStart w:id="37" w:name="jump-to-default-risk"/>
    <w:p>
      <w:pPr>
        <w:pStyle w:val="Heading3"/>
      </w:pPr>
      <w:r>
        <w:t xml:space="preserve">Jump-to-Default Risk</w:t>
      </w:r>
    </w:p>
    <w:p>
      <w:pPr>
        <w:pStyle w:val="FirstParagraph"/>
      </w:pPr>
      <w:r>
        <w:t xml:space="preserve">For distressed credits (CCC, CC, C):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T</m:t>
          </m:r>
          <m:r>
            <m:t>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Notional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P</m:t>
          </m:r>
          <m:r>
            <m:t>D</m:t>
          </m:r>
        </m:oMath>
      </m:oMathPara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= Recovery Rate (standard: 40%)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  <m:r>
          <m:t>D</m:t>
        </m:r>
      </m:oMath>
      <w:r>
        <w:t xml:space="preserve"> </w:t>
      </w:r>
      <w:r>
        <w:t xml:space="preserve">= Probability of Default</w:t>
      </w:r>
    </w:p>
    <w:bookmarkEnd w:id="37"/>
    <w:bookmarkEnd w:id="38"/>
    <w:bookmarkStart w:id="42" w:name="challenge-verification-points-2"/>
    <w:p>
      <w:pPr>
        <w:pStyle w:val="Heading2"/>
      </w:pPr>
      <w:r>
        <w:t xml:space="preserve">4.3 Challenge Verification Points</w:t>
      </w:r>
    </w:p>
    <w:bookmarkStart w:id="39" w:name="check-1-crqcrnq-classification"/>
    <w:p>
      <w:pPr>
        <w:pStyle w:val="Heading3"/>
      </w:pPr>
      <w:r>
        <w:t xml:space="preserve">Check 1: CRQ/CRNQ Classification</w:t>
      </w:r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 Rating must correctly map to Qualifying/Non-Qualifying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Expected Class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C</m:t>
                    </m:r>
                    <m:r>
                      <m:t>R</m:t>
                    </m:r>
                    <m:r>
                      <m:t>Q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R</m:t>
                    </m:r>
                    <m:r>
                      <m:t>a</m:t>
                    </m:r>
                    <m:r>
                      <m:t>t</m:t>
                    </m:r>
                    <m:r>
                      <m:t>i</m:t>
                    </m:r>
                    <m:r>
                      <m:t>n</m:t>
                    </m:r>
                    <m:r>
                      <m:t>g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A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t>B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C</m:t>
                    </m:r>
                    <m:r>
                      <m:t>R</m:t>
                    </m:r>
                    <m:r>
                      <m:t>N</m:t>
                    </m:r>
                    <m:r>
                      <m:t>Q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R</m:t>
                    </m:r>
                    <m:r>
                      <m:t>a</m:t>
                    </m:r>
                    <m:r>
                      <m:t>t</m:t>
                    </m:r>
                    <m:r>
                      <m:t>i</m:t>
                    </m:r>
                    <m:r>
                      <m:t>n</m:t>
                    </m:r>
                    <m:r>
                      <m:t>g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B</m:t>
                    </m:r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</m:m>
            </m:e>
          </m:d>
        </m:oMath>
      </m:oMathPara>
    </w:p>
    <w:bookmarkEnd w:id="39"/>
    <w:bookmarkStart w:id="40" w:name="check-2-risk-weight-ratio"/>
    <w:p>
      <w:pPr>
        <w:pStyle w:val="Heading3"/>
      </w:pPr>
      <w:r>
        <w:t xml:space="preserve">Check 2: Risk Weight Ratio</w:t>
      </w:r>
    </w:p>
    <w:p>
      <w:pPr>
        <w:pStyle w:val="FirstParagraph"/>
      </w:pPr>
      <w:r>
        <w:rPr>
          <w:b/>
          <w:bCs/>
        </w:rPr>
        <w:t xml:space="preserve">Assertion</w:t>
      </w:r>
      <w:r>
        <w:t xml:space="preserve">: HY Risk Weight must be exactly 3× IG Risk Weight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R</m:t>
              </m:r>
              <m:sSub>
                <m:e>
                  <m:r>
                    <m:t>W</m:t>
                  </m:r>
                </m:e>
                <m:sub>
                  <m:r>
                    <m:t>H</m:t>
                  </m:r>
                  <m:r>
                    <m:t>Y</m:t>
                  </m:r>
                </m:sub>
              </m:sSub>
            </m:num>
            <m:den>
              <m:r>
                <m:t>R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G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3.0</m:t>
          </m:r>
          <m:r>
            <m:rPr>
              <m:sty m:val="p"/>
            </m:rPr>
            <m:t>±</m:t>
          </m:r>
          <m:r>
            <m:t>0.01</m:t>
          </m:r>
        </m:oMath>
      </m:oMathPara>
    </w:p>
    <w:bookmarkEnd w:id="40"/>
    <w:bookmarkStart w:id="41" w:name="check-3-jtd-coverage-distressed-credits"/>
    <w:p>
      <w:pPr>
        <w:pStyle w:val="Heading3"/>
      </w:pPr>
      <w:r>
        <w:t xml:space="preserve">Check 3: JTD Coverage (Distressed Credits)</w:t>
      </w:r>
    </w:p>
    <w:p>
      <w:pPr>
        <w:pStyle w:val="FirstParagraph"/>
      </w:pPr>
      <w:r>
        <w:t xml:space="preserve">For ratings CCC, CC, C: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Margin</m:t>
          </m:r>
          <m:r>
            <m:rPr>
              <m:sty m:val="p"/>
            </m:rPr>
            <m:t>≥</m:t>
          </m:r>
          <m:r>
            <m:t>J</m:t>
          </m:r>
          <m:r>
            <m:t>T</m:t>
          </m:r>
          <m:r>
            <m:t>D</m:t>
          </m:r>
          <m:r>
            <m:rPr>
              <m:sty m:val="p"/>
            </m:rPr>
            <m:t>×</m:t>
          </m:r>
          <m:r>
            <m:t>0.5</m:t>
          </m:r>
        </m:oMath>
      </m:oMathPara>
    </w:p>
    <w:p>
      <w:pPr>
        <w:pStyle w:val="FirstParagraph"/>
      </w:pPr>
      <w:r>
        <w:t xml:space="preserve">If margin is insufficient to cover jump-to-default risk, flag as under-margined.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5" w:name="tier-4-exotic-circuit-breaker"/>
    <w:p>
      <w:pPr>
        <w:pStyle w:val="Heading1"/>
      </w:pPr>
      <w:r>
        <w:t xml:space="preserve">5. Tier 4: Exotic Circuit Breaker</w:t>
      </w:r>
    </w:p>
    <w:bookmarkStart w:id="48" w:name="scope-3"/>
    <w:p>
      <w:pPr>
        <w:pStyle w:val="Heading2"/>
      </w:pPr>
      <w:r>
        <w:t xml:space="preserve">5.1 Scope</w:t>
      </w:r>
    </w:p>
    <w:p>
      <w:pPr>
        <w:pStyle w:val="FirstParagraph"/>
      </w:pPr>
      <w:r>
        <w:rPr>
          <w:b/>
          <w:bCs/>
        </w:rPr>
        <w:t xml:space="preserve">Applicable Products</w:t>
      </w:r>
      <w:r>
        <w:t xml:space="preserve">:</w:t>
      </w:r>
    </w:p>
    <w:bookmarkStart w:id="44" w:name="barrier-options-extended"/>
    <w:p>
      <w:pPr>
        <w:pStyle w:val="Heading3"/>
      </w:pPr>
      <w:r>
        <w:t xml:space="preserve">Barrier Options (Extended)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Pin Risk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Knock Out</w:t>
            </w:r>
          </w:p>
        </w:tc>
        <w:tc>
          <w:tcPr/>
          <w:p>
            <w:pPr>
              <w:pStyle w:val="Compact"/>
            </w:pPr>
            <w:r>
              <w:t xml:space="preserve">KO</w:t>
            </w:r>
          </w:p>
        </w:tc>
        <w:tc>
          <w:tcPr/>
          <w:p>
            <w:pPr>
              <w:pStyle w:val="Compact"/>
            </w:pPr>
            <w:r>
              <w:t xml:space="preserve">Standard knock out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KO</w:t>
            </w:r>
          </w:p>
        </w:tc>
        <w:tc>
          <w:tcPr/>
          <w:p>
            <w:pPr>
              <w:pStyle w:val="Compact"/>
            </w:pPr>
            <w:r>
              <w:t xml:space="preserve">RKO</w:t>
            </w:r>
          </w:p>
        </w:tc>
        <w:tc>
          <w:tcPr/>
          <w:p>
            <w:pPr>
              <w:pStyle w:val="Compact"/>
            </w:pPr>
            <w:r>
              <w:t xml:space="preserve">Reverse barrier KO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Knock In</w:t>
            </w:r>
          </w:p>
        </w:tc>
        <w:tc>
          <w:tcPr/>
          <w:p>
            <w:pPr>
              <w:pStyle w:val="Compact"/>
            </w:pPr>
            <w:r>
              <w:t xml:space="preserve">KI</w:t>
            </w:r>
          </w:p>
        </w:tc>
        <w:tc>
          <w:tcPr/>
          <w:p>
            <w:pPr>
              <w:pStyle w:val="Compact"/>
            </w:pPr>
            <w:r>
              <w:t xml:space="preserve">Standard knock in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 KI</w:t>
            </w:r>
          </w:p>
        </w:tc>
        <w:tc>
          <w:tcPr/>
          <w:p>
            <w:pPr>
              <w:pStyle w:val="Compact"/>
            </w:pPr>
            <w:r>
              <w:t xml:space="preserve">RKI</w:t>
            </w:r>
          </w:p>
        </w:tc>
        <w:tc>
          <w:tcPr/>
          <w:p>
            <w:pPr>
              <w:pStyle w:val="Compact"/>
            </w:pPr>
            <w:r>
              <w:t xml:space="preserve">Reverse barrier KI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KIKO</w:t>
            </w:r>
          </w:p>
        </w:tc>
        <w:tc>
          <w:tcPr/>
          <w:p>
            <w:pPr>
              <w:pStyle w:val="Compact"/>
            </w:pPr>
            <w:r>
              <w:t xml:space="preserve">KIKO</w:t>
            </w:r>
          </w:p>
        </w:tc>
        <w:tc>
          <w:tcPr/>
          <w:p>
            <w:pPr>
              <w:pStyle w:val="Compact"/>
            </w:pPr>
            <w:r>
              <w:t xml:space="preserve">Double barrier (KI+KO)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</w:tr>
    </w:tbl>
    <w:bookmarkEnd w:id="44"/>
    <w:bookmarkStart w:id="45" w:name="digital-options"/>
    <w:p>
      <w:pPr>
        <w:pStyle w:val="Heading3"/>
      </w:pPr>
      <w:r>
        <w:t xml:space="preserve">Digital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Discontinuity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European Digital</w:t>
            </w:r>
          </w:p>
        </w:tc>
        <w:tc>
          <w:tcPr/>
          <w:p>
            <w:pPr>
              <w:pStyle w:val="Compact"/>
            </w:pPr>
            <w:r>
              <w:t xml:space="preserve">Standard digital</w:t>
            </w:r>
          </w:p>
        </w:tc>
        <w:tc>
          <w:tcPr/>
          <w:p>
            <w:pPr>
              <w:pStyle w:val="Compact"/>
            </w:pPr>
            <w:r>
              <w:t xml:space="preserve">1 (strike)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Range</w:t>
            </w:r>
          </w:p>
        </w:tc>
        <w:tc>
          <w:tcPr/>
          <w:p>
            <w:pPr>
              <w:pStyle w:val="Compact"/>
            </w:pPr>
            <w:r>
              <w:t xml:space="preserve">Range digital</w:t>
            </w:r>
          </w:p>
        </w:tc>
        <w:tc>
          <w:tcPr/>
          <w:p>
            <w:pPr>
              <w:pStyle w:val="Compact"/>
            </w:pPr>
            <w:r>
              <w:t xml:space="preserve">2 (lower/upper)</w:t>
            </w:r>
          </w:p>
        </w:tc>
      </w:tr>
    </w:tbl>
    <w:bookmarkEnd w:id="45"/>
    <w:bookmarkStart w:id="46" w:name="tarf-variants"/>
    <w:p>
      <w:pPr>
        <w:pStyle w:val="Heading3"/>
      </w:pPr>
      <w:r>
        <w:t xml:space="preserve">TARF 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Floor Factor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TARF</w:t>
            </w:r>
          </w:p>
        </w:tc>
        <w:tc>
          <w:tcPr/>
          <w:p>
            <w:pPr>
              <w:pStyle w:val="Compact"/>
            </w:pPr>
            <w:r>
              <w:t xml:space="preserve">TARF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No EKI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TARF with EKI</w:t>
            </w:r>
          </w:p>
        </w:tc>
        <w:tc>
          <w:tcPr/>
          <w:p>
            <w:pPr>
              <w:pStyle w:val="Compact"/>
            </w:pPr>
            <w:r>
              <w:t xml:space="preserve">TARF_EKI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Enhanced Knock-In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Capped TARF</w:t>
            </w:r>
          </w:p>
        </w:tc>
        <w:tc>
          <w:tcPr/>
          <w:p>
            <w:pPr>
              <w:pStyle w:val="Compact"/>
            </w:pPr>
            <w:r>
              <w:t xml:space="preserve">TARF_CAPPED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Profit cap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Pivot TARF</w:t>
            </w:r>
          </w:p>
        </w:tc>
        <w:tc>
          <w:tcPr/>
          <w:p>
            <w:pPr>
              <w:pStyle w:val="Compact"/>
            </w:pPr>
            <w:r>
              <w:t xml:space="preserve">TARF_PIVOT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Pivot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TARF</w:t>
            </w:r>
          </w:p>
        </w:tc>
        <w:tc>
          <w:tcPr/>
          <w:p>
            <w:pPr>
              <w:pStyle w:val="Compact"/>
            </w:pPr>
            <w:r>
              <w:t xml:space="preserve">TARF_DIGITAL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Digital payoff</w:t>
            </w:r>
          </w:p>
        </w:tc>
      </w:tr>
    </w:tbl>
    <w:bookmarkEnd w:id="46"/>
    <w:bookmarkStart w:id="47" w:name="other-exotics"/>
    <w:p>
      <w:pPr>
        <w:pStyle w:val="Heading3"/>
      </w:pPr>
      <w:r>
        <w:t xml:space="preserve">Other Exotics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Risk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Single touch payout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 Accrual</w:t>
            </w:r>
          </w:p>
        </w:tc>
        <w:tc>
          <w:tcPr/>
          <w:p>
            <w:pPr>
              <w:pStyle w:val="Compact"/>
            </w:pPr>
            <w:r>
              <w:t xml:space="preserve">Range observation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ISDA SIMM 2.8 Critical Note</w:t>
      </w:r>
      <w:r>
        <w:t xml:space="preserve"> </w:t>
      </w:r>
      <w:r>
        <w:t xml:space="preserve">(Section 11(a)):</w:t>
      </w:r>
      <w:r>
        <w:t xml:space="preserve"> </w:t>
      </w:r>
      <w:r>
        <w:t xml:space="preserve">&gt;</w:t>
      </w:r>
      <w:r>
        <w:t xml:space="preserve"> </w:t>
      </w:r>
      <w:r>
        <w:t xml:space="preserve">“This paragraph applies to vanilla options.”</w:t>
      </w:r>
    </w:p>
    <w:p>
      <w:pPr>
        <w:pStyle w:val="BodyText"/>
      </w:pPr>
      <w:r>
        <w:rPr>
          <w:b/>
          <w:bCs/>
        </w:rPr>
        <w:t xml:space="preserve">Implication</w:t>
      </w:r>
      <w:r>
        <w:t xml:space="preserve">: Curvature formula is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to exotic options with discontinuous payoffs or path dependency.</w:t>
      </w:r>
    </w:p>
    <w:bookmarkEnd w:id="47"/>
    <w:bookmarkEnd w:id="48"/>
    <w:bookmarkStart w:id="53" w:name="circuit-breaker-triggers"/>
    <w:p>
      <w:pPr>
        <w:pStyle w:val="Heading2"/>
      </w:pPr>
      <w:r>
        <w:t xml:space="preserve">5.2 Circuit Breaker Triggers</w:t>
      </w:r>
    </w:p>
    <w:bookmarkStart w:id="49" w:name="Xcb60752fa1e6928ca0180eff26d882fd6e21b98"/>
    <w:p>
      <w:pPr>
        <w:pStyle w:val="Heading3"/>
      </w:pPr>
      <w:r>
        <w:t xml:space="preserve">Trigger 1: Pin Risk Detection (Barrier Products)</w:t>
      </w:r>
    </w:p>
    <w:p>
      <w:pPr>
        <w:pStyle w:val="FirstParagraph"/>
      </w:pPr>
      <w:r>
        <w:rPr>
          <w:b/>
          <w:bCs/>
        </w:rPr>
        <w:t xml:space="preserve">Condition</w:t>
      </w:r>
      <w:r>
        <w:t xml:space="preserve">: Price within 2% of barrier level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spot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barrier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barrier</m:t>
                  </m:r>
                </m:sub>
              </m:sSub>
            </m:den>
          </m:f>
          <m:r>
            <m:rPr>
              <m:sty m:val="p"/>
            </m:rPr>
            <m:t>≤</m:t>
          </m:r>
          <m:r>
            <m:t>0.02</m:t>
          </m:r>
        </m:oMath>
      </m:oMathPara>
    </w:p>
    <w:p>
      <w:pPr>
        <w:pStyle w:val="FirstParagraph"/>
      </w:pPr>
      <w:r>
        <w:rPr>
          <w:b/>
          <w:bCs/>
        </w:rPr>
        <w:t xml:space="preserve">AND</w:t>
      </w:r>
      <w:r>
        <w:t xml:space="preserve"> </w:t>
      </w:r>
      <w:r>
        <w:t xml:space="preserve">Vega exceeds explosive threshold: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Vega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Notional</m:t>
          </m:r>
          <m:r>
            <m:rPr>
              <m:sty m:val="p"/>
            </m:rPr>
            <m:t>×</m:t>
          </m:r>
          <m:r>
            <m:t>0.5</m:t>
          </m:r>
        </m:oMath>
      </m:oMathPara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b/>
          <w:bCs/>
        </w:rPr>
        <w:t xml:space="preserve">IMMEDIATE CIRCUIT BREAK</w:t>
      </w:r>
      <w:r>
        <w:t xml:space="preserve"> </w:t>
      </w:r>
      <w:r>
        <w:t xml:space="preserve">- Fallback to Schedule-based method</w:t>
      </w:r>
      <w:r>
        <w:t xml:space="preserve"> </w:t>
      </w:r>
      <w:r>
        <w:t xml:space="preserve">- Alert operations team</w:t>
      </w:r>
      <w:r>
        <w:t xml:space="preserve"> </w:t>
      </w:r>
      <w:r>
        <w:t xml:space="preserve">- Log audit trail</w:t>
      </w:r>
    </w:p>
    <w:bookmarkEnd w:id="49"/>
    <w:bookmarkStart w:id="50" w:name="trigger-2-cvr-sanity-check"/>
    <w:p>
      <w:pPr>
        <w:pStyle w:val="Heading3"/>
      </w:pPr>
      <w:r>
        <w:t xml:space="preserve">Trigger 2: CVR Sanity Check</w:t>
      </w:r>
    </w:p>
    <w:p>
      <w:pPr>
        <w:pStyle w:val="FirstParagraph"/>
      </w:pPr>
      <w:r>
        <w:rPr>
          <w:b/>
          <w:bCs/>
        </w:rPr>
        <w:t xml:space="preserve">Condition</w:t>
      </w:r>
      <w:r>
        <w:t xml:space="preserve">: Curvature Risk exceeds notional principal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V</m:t>
          </m:r>
          <m:r>
            <m:t>R</m:t>
          </m:r>
          <m:r>
            <m:rPr>
              <m:sty m:val="p"/>
            </m:rPr>
            <m:t>&gt;</m:t>
          </m:r>
          <m:r>
            <m:rPr>
              <m:nor/>
              <m:sty m:val="p"/>
            </m:rPr>
            <m:t>Notional</m:t>
          </m:r>
        </m:oMath>
      </m:oMathPara>
    </w:p>
    <w:p>
      <w:pPr>
        <w:pStyle w:val="FirstParagraph"/>
      </w:pPr>
      <w:r>
        <w:rPr>
          <w:b/>
          <w:bCs/>
        </w:rPr>
        <w:t xml:space="preserve">Mathematical Basis</w:t>
      </w:r>
      <w:r>
        <w:t xml:space="preserve">: If CVR &gt; Notional, the approximation has broken down. This is impossible for a vanilla option but can occur for exotics near barriers.</w:t>
      </w:r>
    </w:p>
    <w:bookmarkEnd w:id="50"/>
    <w:bookmarkStart w:id="51" w:name="trigger-3-digital-discontinuity"/>
    <w:p>
      <w:pPr>
        <w:pStyle w:val="Heading3"/>
      </w:pPr>
      <w:r>
        <w:t xml:space="preserve">Trigger 3: Digital Discontinuity</w:t>
      </w:r>
    </w:p>
    <w:p>
      <w:pPr>
        <w:pStyle w:val="FirstParagraph"/>
      </w:pPr>
      <w:r>
        <w:rPr>
          <w:b/>
          <w:bCs/>
        </w:rPr>
        <w:t xml:space="preserve">Condition</w:t>
      </w:r>
      <w:r>
        <w:t xml:space="preserve">: Digital option near strike price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|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≤</m:t>
          </m:r>
          <m:r>
            <m:t>0.01</m:t>
          </m:r>
        </m:oMath>
      </m:oMathPara>
    </w:p>
    <w:p>
      <w:pPr>
        <w:pStyle w:val="FirstParagraph"/>
      </w:pPr>
      <w:r>
        <w:t xml:space="preserve">At this point, Delta is mathematically undefined (Dirac delta function). SIMM 2.8 approximation is invalid.</w:t>
      </w:r>
    </w:p>
    <w:bookmarkEnd w:id="51"/>
    <w:bookmarkStart w:id="52" w:name="trigger-4-tarf-behavioral-mismatch"/>
    <w:p>
      <w:pPr>
        <w:pStyle w:val="Heading3"/>
      </w:pPr>
      <w:r>
        <w:t xml:space="preserve">Trigger 4: TARF Behavioral Mismatch</w:t>
      </w:r>
    </w:p>
    <w:p>
      <w:pPr>
        <w:pStyle w:val="FirstParagraph"/>
      </w:pPr>
      <w:r>
        <w:rPr>
          <w:b/>
          <w:bCs/>
        </w:rPr>
        <w:t xml:space="preserve">Condition</w:t>
      </w:r>
      <w:r>
        <w:t xml:space="preserve">: Target redemption progress &gt; 80% but Vega remains high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Target Completion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Accumulated Gain</m:t>
              </m:r>
            </m:num>
            <m:den>
              <m:r>
                <m:rPr>
                  <m:nor/>
                  <m:sty m:val="p"/>
                </m:rPr>
                <m:t>Target</m:t>
              </m:r>
            </m:den>
          </m:f>
          <m:r>
            <m:rPr>
              <m:sty m:val="p"/>
            </m:rPr>
            <m:t>&gt;</m:t>
          </m:r>
          <m:r>
            <m:t>0.8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Vega Risk</m:t>
          </m:r>
          <m:r>
            <m:rPr>
              <m:sty m:val="p"/>
            </m:rPr>
            <m:t>&gt;</m:t>
          </m:r>
          <m:r>
            <m:t>0.5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Delta Risk</m:t>
          </m:r>
        </m:oMath>
      </m:oMathPara>
    </w:p>
    <w:p>
      <w:pPr>
        <w:pStyle w:val="FirstParagraph"/>
      </w:pPr>
      <w:r>
        <w:rPr>
          <w:b/>
          <w:bCs/>
        </w:rPr>
        <w:t xml:space="preserve">Expected Behavior</w:t>
      </w:r>
      <w:r>
        <w:t xml:space="preserve">: Near target, TARF should behave like a Forward (Vega → 0). High Vega indicates model mis-specification.</w:t>
      </w:r>
    </w:p>
    <w:bookmarkEnd w:id="52"/>
    <w:bookmarkEnd w:id="53"/>
    <w:bookmarkStart w:id="54" w:name="fallback-calculation"/>
    <w:p>
      <w:pPr>
        <w:pStyle w:val="Heading2"/>
      </w:pPr>
      <w:r>
        <w:t xml:space="preserve">5.3 Fallback Calculation</w:t>
      </w:r>
    </w:p>
    <w:p>
      <w:pPr>
        <w:pStyle w:val="FirstParagraph"/>
      </w:pPr>
      <w:r>
        <w:t xml:space="preserve">When circuit breaker triggers: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Fallback Margin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Notional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Schedule Factor</m:t>
          </m:r>
        </m:oMath>
      </m:oMathPara>
    </w:p>
    <w:p>
      <w:pPr>
        <w:pStyle w:val="FirstParagraph"/>
      </w:pPr>
      <w:r>
        <w:rPr>
          <w:b/>
          <w:bCs/>
        </w:rPr>
        <w:t xml:space="preserve">Schedule Factors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Class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</w:pPr>
            <w:r>
              <w:t xml:space="preserve">1.0% - 2.0%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FX</w:t>
            </w:r>
          </w:p>
        </w:tc>
        <w:tc>
          <w:tcPr/>
          <w:p>
            <w:pPr>
              <w:pStyle w:val="Compact"/>
            </w:pPr>
            <w:r>
              <w:t xml:space="preserve">1.5% - 3.0%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6.0% - 15.0%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2.0% - 10.0%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Commodity</w:t>
            </w:r>
          </w:p>
        </w:tc>
        <w:tc>
          <w:tcPr/>
          <w:p>
            <w:pPr>
              <w:pStyle w:val="Compact"/>
            </w:pPr>
            <w:r>
              <w:t xml:space="preserve">10.0% - 15.0%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implementation"/>
    <w:p>
      <w:pPr>
        <w:pStyle w:val="Heading1"/>
      </w:pPr>
      <w:r>
        <w:t xml:space="preserve">6. Implementation</w:t>
      </w:r>
    </w:p>
    <w:bookmarkStart w:id="56" w:name="code-structure"/>
    <w:p>
      <w:pPr>
        <w:pStyle w:val="Heading2"/>
      </w:pPr>
      <w:r>
        <w:t xml:space="preserve">6.1 Code Structure</w:t>
      </w:r>
    </w:p>
    <w:p>
      <w:pPr>
        <w:pStyle w:val="SourceCode"/>
      </w:pPr>
      <w:r>
        <w:rPr>
          <w:rStyle w:val="CommentTok"/>
        </w:rPr>
        <w:t xml:space="preserve"># challenge_model.py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decimal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Decimal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ChallengeResult:</w:t>
      </w:r>
      <w:r>
        <w:br/>
      </w:r>
      <w:r>
        <w:rPr>
          <w:rStyle w:val="NormalTok"/>
        </w:rPr>
        <w:t xml:space="preserve">    product_id: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passed: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checks: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fallback_triggered: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fallback_margin: Optional[Decimal]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BaseChallengeModel(ABC):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challenge(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product, simm_result)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ChallengeResult: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LinearProductChallenge(BaseChallengeModel):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"""Tier 1: Linear products verification"""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challenge(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product, simm_result):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1: Risk Weight consistency</w:t>
      </w:r>
      <w:r>
        <w:br/>
      </w:r>
      <w:r>
        <w:rPr>
          <w:rStyle w:val="NormalTok"/>
        </w:rPr>
        <w:t xml:space="preserve">        rw_check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._verify_risk_weight(product, simm_result)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2: Aggregation bound</w:t>
      </w:r>
      <w:r>
        <w:br/>
      </w:r>
      <w:r>
        <w:rPr>
          <w:rStyle w:val="NormalTok"/>
        </w:rPr>
        <w:t xml:space="preserve">        agg_check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._verify_aggregation_bound(simm_result)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3: Delta sign</w:t>
      </w:r>
      <w:r>
        <w:br/>
      </w:r>
      <w:r>
        <w:rPr>
          <w:rStyle w:val="NormalTok"/>
        </w:rPr>
        <w:t xml:space="preserve">        delta_check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._verify_delta_sign(product, simm_result)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([rw_check, agg_check, delta_check])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ChallengeResult(</w:t>
      </w:r>
      <w:r>
        <w:br/>
      </w:r>
      <w:r>
        <w:rPr>
          <w:rStyle w:val="NormalTok"/>
        </w:rPr>
        <w:t xml:space="preserve">            product_id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passed,</w:t>
      </w:r>
      <w:r>
        <w:br/>
      </w:r>
      <w:r>
        <w:rPr>
          <w:rStyle w:val="NormalTok"/>
        </w:rPr>
        <w:t xml:space="preserve">            checks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"rw"</w:t>
      </w:r>
      <w:r>
        <w:rPr>
          <w:rStyle w:val="NormalTok"/>
        </w:rPr>
        <w:t xml:space="preserve">: rw_check, 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: agg_check, </w:t>
      </w:r>
      <w:r>
        <w:rPr>
          <w:rStyle w:val="StringTok"/>
        </w:rPr>
        <w:t xml:space="preserve">"delta"</w:t>
      </w:r>
      <w:r>
        <w:rPr>
          <w:rStyle w:val="NormalTok"/>
        </w:rPr>
        <w:t xml:space="preserve">: delta_check}</w:t>
      </w:r>
      <w:r>
        <w:br/>
      </w:r>
      <w:r>
        <w:rPr>
          <w:rStyle w:val="NormalTok"/>
        </w:rPr>
        <w:t xml:space="preserve">        )</w:t>
      </w:r>
    </w:p>
    <w:bookmarkEnd w:id="56"/>
    <w:bookmarkStart w:id="57" w:name="validation-results"/>
    <w:p>
      <w:pPr>
        <w:pStyle w:val="Heading2"/>
      </w:pPr>
      <w:r>
        <w:t xml:space="preserve">6.2 Validation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Category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Products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Vanilla Options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 Products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Exotic Options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conclusion"/>
    <w:p>
      <w:pPr>
        <w:pStyle w:val="Heading1"/>
      </w:pPr>
      <w:r>
        <w:t xml:space="preserve">7. Conclusion</w:t>
      </w:r>
    </w:p>
    <w:p>
      <w:pPr>
        <w:pStyle w:val="FirstParagraph"/>
      </w:pPr>
      <w:r>
        <w:t xml:space="preserve">The SIMM 2.8 Challenge Model provides a rigorous, formula-based verification framework that: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Validates mathematical correctness</w:t>
      </w:r>
      <w:r>
        <w:t xml:space="preserve"> </w:t>
      </w:r>
      <w:r>
        <w:t xml:space="preserve">of SIMM 2.8 calculations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Detects formula inapplicability</w:t>
      </w:r>
      <w:r>
        <w:t xml:space="preserve"> </w:t>
      </w:r>
      <w:r>
        <w:t xml:space="preserve">for exotic products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Triggers safe fallbacks</w:t>
      </w:r>
      <w:r>
        <w:t xml:space="preserve"> </w:t>
      </w:r>
      <w:r>
        <w:t xml:space="preserve">when SIMM 2.8 fails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Maintains audit trails</w:t>
      </w:r>
      <w:r>
        <w:t xml:space="preserve"> </w:t>
      </w:r>
      <w:r>
        <w:t xml:space="preserve">for regulatory compliance</w:t>
      </w:r>
    </w:p>
    <w:p>
      <w:pPr>
        <w:pStyle w:val="FirstParagraph"/>
      </w:pPr>
      <w:r>
        <w:t xml:space="preserve">All challenge points are based on explicit ISDA SIMM 2.8 formulas—not black-box heuristics—ensuring transparent, defensible risk management.</w:t>
      </w:r>
    </w:p>
    <w:p>
      <w:r>
        <w:pict>
          <v:rect style="width:0;height:1.5pt" o:hralign="center" o:hrstd="t" o:hr="t"/>
        </w:pict>
      </w:r>
    </w:p>
    <w:bookmarkEnd w:id="59"/>
    <w:bookmarkStart w:id="60" w:name="appendix-a-isda-simm-2.8-references"/>
    <w:p>
      <w:pPr>
        <w:pStyle w:val="Heading1"/>
      </w:pPr>
      <w:r>
        <w:t xml:space="preserve">Appendix A: ISDA SIMM 2.8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1458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Challenge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Product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C.1</w:t>
            </w:r>
          </w:p>
        </w:tc>
        <w:tc>
          <w:tcPr/>
          <w:p>
            <w:pPr>
              <w:pStyle w:val="Compact"/>
            </w:pPr>
            <w:r>
              <w:t xml:space="preserve">Delta Risk (IR, FX, EQ, CO)</w:t>
            </w:r>
          </w:p>
        </w:tc>
        <w:tc>
          <w:tcPr/>
          <w:p>
            <w:pPr>
              <w:pStyle w:val="Compact"/>
            </w:pPr>
            <w:r>
              <w:t xml:space="preserve">Linear product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C.2</w:t>
            </w:r>
          </w:p>
        </w:tc>
        <w:tc>
          <w:tcPr/>
          <w:p>
            <w:pPr>
              <w:pStyle w:val="Compact"/>
            </w:pPr>
            <w:r>
              <w:t xml:space="preserve">Delta Risk (Credit)</w:t>
            </w:r>
          </w:p>
        </w:tc>
        <w:tc>
          <w:tcPr/>
          <w:p>
            <w:pPr>
              <w:pStyle w:val="Compact"/>
            </w:pPr>
            <w:r>
              <w:t xml:space="preserve">CRQ/CRNQ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C.3</w:t>
            </w:r>
          </w:p>
        </w:tc>
        <w:tc>
          <w:tcPr/>
          <w:p>
            <w:pPr>
              <w:pStyle w:val="Compact"/>
            </w:pPr>
            <w:r>
              <w:t xml:space="preserve">Credit Spread Risk</w:t>
            </w:r>
          </w:p>
        </w:tc>
        <w:tc>
          <w:tcPr/>
          <w:p>
            <w:pPr>
              <w:pStyle w:val="Compact"/>
            </w:pPr>
            <w:r>
              <w:t xml:space="preserve">Rating-to-RW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C.8</w:t>
            </w:r>
          </w:p>
        </w:tc>
        <w:tc>
          <w:tcPr/>
          <w:p>
            <w:pPr>
              <w:pStyle w:val="Compact"/>
            </w:pPr>
            <w:r>
              <w:t xml:space="preserve">Curvature Risk</w:t>
            </w:r>
          </w:p>
        </w:tc>
        <w:tc>
          <w:tcPr/>
          <w:p>
            <w:pPr>
              <w:pStyle w:val="Compact"/>
            </w:pPr>
            <w:r>
              <w:t xml:space="preserve">Option curvature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Delta Margin Aggregation</w:t>
            </w:r>
          </w:p>
        </w:tc>
        <w:tc>
          <w:tcPr/>
          <w:p>
            <w:pPr>
              <w:pStyle w:val="Compact"/>
            </w:pPr>
            <w:r>
              <w:t xml:space="preserve">Subadditivity bounds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Curvature Risk Calculation</w:t>
            </w:r>
          </w:p>
        </w:tc>
        <w:tc>
          <w:tcPr/>
          <w:p>
            <w:pPr>
              <w:pStyle w:val="Compact"/>
            </w:pPr>
            <w:r>
              <w:t xml:space="preserve">Scaling function, vanilla assumptions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1</w:t>
            </w:r>
          </w:p>
        </w:tc>
        <w:tc>
          <w:tcPr/>
          <w:p>
            <w:pPr>
              <w:pStyle w:val="Compact"/>
            </w:pPr>
            <w:r>
              <w:t xml:space="preserve">Risk Weights</w:t>
            </w:r>
          </w:p>
        </w:tc>
        <w:tc>
          <w:tcPr/>
          <w:p>
            <w:pPr>
              <w:pStyle w:val="Compact"/>
            </w:pPr>
            <w:r>
              <w:t xml:space="preserve">RW consistency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2</w:t>
            </w:r>
          </w:p>
        </w:tc>
        <w:tc>
          <w:tcPr/>
          <w:p>
            <w:pPr>
              <w:pStyle w:val="Compact"/>
            </w:pPr>
            <w:r>
              <w:t xml:space="preserve">Credit Quality</w:t>
            </w:r>
          </w:p>
        </w:tc>
        <w:tc>
          <w:tcPr/>
          <w:p>
            <w:pPr>
              <w:pStyle w:val="Compact"/>
            </w:pPr>
            <w:r>
              <w:t xml:space="preserve">IG vs HY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4</w:t>
            </w:r>
          </w:p>
        </w:tc>
        <w:tc>
          <w:tcPr/>
          <w:p>
            <w:pPr>
              <w:pStyle w:val="Compact"/>
            </w:pPr>
            <w:r>
              <w:t xml:space="preserve">Correlations</w:t>
            </w:r>
          </w:p>
        </w:tc>
        <w:tc>
          <w:tcPr/>
          <w:p>
            <w:pPr>
              <w:pStyle w:val="Compact"/>
            </w:pPr>
            <w:r>
              <w:t xml:space="preserve">Aggregation formula validation</w:t>
            </w:r>
          </w:p>
        </w:tc>
      </w:tr>
    </w:tbl>
    <w:bookmarkEnd w:id="60"/>
    <w:bookmarkStart w:id="61" w:name="appendix-b-glossary"/>
    <w:p>
      <w:pPr>
        <w:pStyle w:val="Heading1"/>
      </w:pPr>
      <w:r>
        <w:t xml:space="preserve">Appendix B: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Model</w:t>
            </w:r>
          </w:p>
        </w:tc>
        <w:tc>
          <w:tcPr/>
          <w:p>
            <w:pPr>
              <w:pStyle w:val="Compact"/>
            </w:pPr>
            <w:r>
              <w:t xml:space="preserve">Independent verification framework for SIMM 2.8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 Breaker</w:t>
            </w:r>
          </w:p>
        </w:tc>
        <w:tc>
          <w:tcPr/>
          <w:p>
            <w:pPr>
              <w:pStyle w:val="Compact"/>
            </w:pPr>
            <w:r>
              <w:t xml:space="preserve">Automatic fallback trigger when SIMM formula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CRQ</w:t>
            </w:r>
          </w:p>
        </w:tc>
        <w:tc>
          <w:tcPr/>
          <w:p>
            <w:pPr>
              <w:pStyle w:val="Compact"/>
            </w:pPr>
            <w:r>
              <w:t xml:space="preserve">Credit Qualifying (IG ratings)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CRNQ</w:t>
            </w:r>
          </w:p>
        </w:tc>
        <w:tc>
          <w:tcPr/>
          <w:p>
            <w:pPr>
              <w:pStyle w:val="Compact"/>
            </w:pPr>
            <w:r>
              <w:t xml:space="preserve">Credit Non-Qualifying (HY ratings)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CVR</w:t>
            </w:r>
          </w:p>
        </w:tc>
        <w:tc>
          <w:tcPr/>
          <w:p>
            <w:pPr>
              <w:pStyle w:val="Compact"/>
            </w:pPr>
            <w:r>
              <w:t xml:space="preserve">Curvature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JTD</w:t>
            </w:r>
          </w:p>
        </w:tc>
        <w:tc>
          <w:tcPr/>
          <w:p>
            <w:pPr>
              <w:pStyle w:val="Compact"/>
            </w:pPr>
            <w:r>
              <w:t xml:space="preserve">Jump-to-Default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Risk</w:t>
            </w:r>
          </w:p>
        </w:tc>
        <w:tc>
          <w:tcPr/>
          <w:p>
            <w:pPr>
              <w:pStyle w:val="Compact"/>
            </w:pPr>
            <w:r>
              <w:t xml:space="preserve">Greeks explosion near barrier prices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Risk 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SF(t)</w:t>
            </w:r>
          </w:p>
        </w:tc>
        <w:tc>
          <w:tcPr/>
          <w:p>
            <w:pPr>
              <w:pStyle w:val="Compact"/>
            </w:pPr>
            <w:r>
              <w:t xml:space="preserve">Scaling Function for curvature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</w:t>
            </w:r>
          </w:p>
        </w:tc>
        <w:tc>
          <w:tcPr/>
          <w:p>
            <w:pPr>
              <w:pStyle w:val="Compact"/>
            </w:pPr>
            <w:r>
              <w:t xml:space="preserve">Weighted Sensitivity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</w:t>
      </w:r>
      <w:r>
        <w:t xml:space="preserve"> </w:t>
      </w:r>
      <w:r>
        <w:t xml:space="preserve">- Version: 1.0.0</w:t>
      </w:r>
      <w:r>
        <w:t xml:space="preserve"> </w:t>
      </w:r>
      <w:r>
        <w:t xml:space="preserve">- Date: 2026-02-26</w:t>
      </w:r>
      <w:r>
        <w:t xml:space="preserve"> </w:t>
      </w:r>
      <w:r>
        <w:t xml:space="preserve">- Status: Final</w:t>
      </w:r>
      <w:r>
        <w:t xml:space="preserve"> </w:t>
      </w:r>
      <w:r>
        <w:t xml:space="preserve">- Classification: Internal Use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SIMM 2.8 Challenge Model Technical Specification</dc:title>
  <dc:creator>Risk Management Team</dc:creator>
  <cp:keywords/>
  <dcterms:created xsi:type="dcterms:W3CDTF">2026-02-26T09:26:08Z</dcterms:created>
  <dcterms:modified xsi:type="dcterms:W3CDTF">2026-02-26T09:26:08Z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26, 2026</vt:lpwstr>
  </property>
  <property fmtid="{D5CDD505-2E9C-101B-9397-08002B2CF9AE}" pid="3" name="subtitle">
    <vt:lpwstr>Product-Level Verification Framework with Mathematical Circuit Breakers</vt:lpwstr>
  </property>
  <property fmtid="{D5CDD505-2E9C-101B-9397-08002B2CF9AE}" pid="4" name="version">
    <vt:lpwstr>1.1.0</vt:lpwstr>
  </property>
</Properties>
</file>