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>
          <w:rFonts w:ascii="Calibri" w:hAnsi="Calibri" w:eastAsia="宋体" w:cs="Calibri"/>
          <w:b/>
          <w:bCs/>
          <w:sz w:val="32"/>
          <w:szCs w:val="32"/>
        </w:rPr>
        <w:t>经营概况</w:t>
      </w:r>
    </w:p>
    <w:p>
      <w:r>
        <w:rPr>
          <w:rFonts w:ascii="Calibri" w:hAnsi="Calibri" w:eastAsia="宋体" w:cs="Calibri"/>
        </w:rPr>
        <w:t>本季度整体经营情况良好，各项指标符合预期。</w:t>
      </w:r>
    </w:p>
    <w:p>
      <w:pPr>
        <w:pStyle w:val="Heading2"/>
      </w:pPr>
      <w:r>
        <w:rPr>
          <w:rFonts w:ascii="Calibri" w:hAnsi="Calibri" w:eastAsia="宋体" w:cs="Calibri"/>
          <w:b/>
          <w:bCs/>
          <w:sz w:val="28"/>
          <w:szCs w:val="28"/>
        </w:rPr>
        <w:t>收入分析</w:t>
      </w:r>
    </w:p>
    <w:p>
      <w:r>
        <w:rPr>
          <w:rFonts w:ascii="Calibri" w:hAnsi="Calibri" w:eastAsia="宋体" w:cs="Calibri"/>
        </w:rPr>
        <w:t>营业收入同比增长，主要来自华东区域。</w:t>
      </w:r>
    </w:p>
    <w:p>
      <w:pPr>
        <w:pStyle w:val="Heading3"/>
      </w:pPr>
      <w:r>
        <w:rPr>
          <w:rFonts w:ascii="Calibri" w:hAnsi="Calibri" w:eastAsia="宋体" w:cs="Calibri"/>
          <w:b/>
          <w:bCs/>
          <w:sz w:val="24"/>
          <w:szCs w:val="24"/>
        </w:rPr>
        <w:t>分产品收入</w:t>
      </w:r>
    </w:p>
    <w:p>
      <w:r>
        <w:rPr>
          <w:rFonts w:ascii="Calibri" w:hAnsi="Calibri" w:eastAsia="宋体" w:cs="Calibri"/>
        </w:rPr>
        <w:t>主营产品收入占比继续提升。</w:t>
      </w:r>
    </w:p>
    <w:p>
      <w:pPr>
        <w:pStyle w:val="Heading2"/>
      </w:pPr>
      <w:r>
        <w:rPr>
          <w:rFonts w:ascii="Calibri" w:hAnsi="Calibri" w:eastAsia="宋体" w:cs="Calibri"/>
          <w:b/>
          <w:bCs/>
          <w:sz w:val="28"/>
          <w:szCs w:val="28"/>
        </w:rPr>
        <w:t>成本与费用</w:t>
      </w:r>
    </w:p>
    <w:p>
      <w:r>
        <w:rPr>
          <w:rFonts w:ascii="Calibri" w:hAnsi="Calibri" w:eastAsia="宋体" w:cs="Calibri"/>
        </w:rPr>
        <w:t>费用结构持续优化，管理费用同比下降。</w:t>
      </w:r>
    </w:p>
    <w:p>
      <w:pPr>
        <w:pStyle w:val="Heading1"/>
      </w:pPr>
      <w:r>
        <w:rPr>
          <w:rFonts w:ascii="Calibri" w:hAnsi="Calibri" w:eastAsia="宋体" w:cs="Calibri"/>
          <w:b/>
          <w:bCs/>
          <w:sz w:val="32"/>
          <w:szCs w:val="32"/>
        </w:rPr>
        <w:t>风险提示</w:t>
      </w:r>
    </w:p>
    <w:p>
      <w:r>
        <w:rPr>
          <w:rFonts w:ascii="Calibri" w:hAnsi="Calibri" w:eastAsia="宋体" w:cs="Calibri"/>
        </w:rPr>
        <w:t>应收账款账龄需要持续关注。</w:t>
      </w:r>
    </w:p>
    <w:sectPr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alibri">
    <w:family w:val="swiss"/>
    <w:pitch w:val="variable"/>
  </w:font>
  <w:font w:name="宋体">
    <w:family w:val="auto"/>
    <w:pitch w:val="variable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nsid w:val="12345678"/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宋体" w:cs="Calibri"/>
        <w:sz w:val="21"/>
        <w:szCs w:val="22"/>
      </w:rPr>
    </w:rPrDefault>
    <w:pPrDefault>
      <w:pPr>
        <w:spacing w:after="0" w:line="31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40" w:after="33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spacing w:before="340" w:after="33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spacing w:before="340" w:after="330"/>
      <w:outlineLvl w:val="2"/>
    </w:pPr>
    <w:rPr>
      <w:b/>
      <w:bCs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ultrawork docx skill</Application>
  <DocSecurity>0</DocSecurity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多级标题样例</dc:title>
  <dc:creator>ultrawork</dc:creator>
  <cp:lastModifiedBy>ultrawork</cp:lastModifiedBy>
  <dcterms:created xsi:type="dcterms:W3CDTF">2026-07-01T08:00:00Z</dcterms:created>
  <dcterms:modified xsi:type="dcterms:W3CDTF">2026-07-02T10:20:00Z</dcterms:modified>
</cp:coreProperties>
</file>