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Calibri" w:hAnsi="Calibri" w:eastAsia="宋体" w:cs="Calibri"/>
          <w:b/>
          <w:bCs/>
          <w:sz w:val="32"/>
          <w:szCs w:val="32"/>
        </w:rPr>
        <w:t>二零二六年第三季度经营分析报告</w:t>
      </w:r>
      <w:pPr>
        <w:pStyle w:val="Heading1"/>
        <w:jc w:val="center"/>
      </w:pPr>
    </w:p>
    <w:p>
      <w:r>
        <w:t>2026 年第</w:t>
        <w:rPr>
          <w:rFonts w:ascii="Calibri" w:hAnsi="Calibri" w:eastAsia="宋体" w:cs="Calibri"/>
        </w:rPr>
      </w:r>
      <w:r>
        <w:rPr>
          <w:rFonts w:ascii="Calibri" w:hAnsi="Calibri" w:eastAsia="宋体" w:cs="Calibri"/>
        </w:rPr>
        <w:t>三季度</w:t>
      </w:r>
      <w:r>
        <w:rPr>
          <w:rFonts w:ascii="Calibri" w:hAnsi="Calibri" w:eastAsia="宋体" w:cs="Calibri"/>
        </w:rPr>
        <w:t>营业收入同比增长 12%，毛利率保持稳定。</w:t>
      </w:r>
    </w:p>
    <w:p>
      <w:r>
        <w:rPr>
          <w:rFonts w:ascii="Calibri" w:hAnsi="Calibri" w:eastAsia="宋体" w:cs="Calibri"/>
        </w:rPr>
        <w:t>客户：{{客户</w:t>
      </w:r>
      <w:r>
        <w:rPr>
          <w:rFonts w:ascii="Calibri" w:hAnsi="Calibri" w:eastAsia="宋体" w:cs="Calibri"/>
        </w:rPr>
        <w:t>名称}}</w:t>
      </w:r>
      <w:r>
        <w:rPr>
          <w:rFonts w:ascii="Calibri" w:hAnsi="Calibri" w:eastAsia="宋体" w:cs="Calibri"/>
        </w:rPr>
        <w:t>，签署日期：{{日期}}。</w:t>
      </w:r>
    </w:p>
    <w:p>
      <w:pPr>
        <w:numPr>
          <w:ilvl w:val="0"/>
          <w:numId w:val="1"/>
        </w:numPr>
      </w:pPr>
      <w:r>
        <w:rPr>
          <w:rFonts w:ascii="Calibri" w:hAnsi="Calibri" w:eastAsia="宋体" w:cs="Calibri"/>
        </w:rPr>
        <w:t>费用结构持续优化，管理费用同比下降。</w:t>
      </w:r>
    </w:p>
    <w:p>
      <w:pPr>
        <w:numPr>
          <w:ilvl w:val="0"/>
          <w:numId w:val="1"/>
        </w:numPr>
      </w:pPr>
      <w:r>
        <w:rPr>
          <w:rFonts w:ascii="Calibri" w:hAnsi="Calibri" w:eastAsia="宋体" w:cs="Calibri"/>
        </w:rPr>
        <w:t>经营性现金流保持健康水平，Q3 无异常。</w:t>
      </w:r>
    </w:p>
    <w:p>
      <w:r>
        <w:rPr>
          <w:rFonts w:ascii="Calibri" w:hAnsi="Calibri" w:eastAsia="宋体" w:cs="Calibri"/>
        </w:rPr>
        <w:t>本季度</w:t>
      </w:r>
      <w:ins w:id="101" w:author="张审阅" w:date="2026-07-01T09:00:00Z">
        <w:r>
          <w:rPr>
            <w:rFonts w:ascii="Calibri" w:hAnsi="Calibri" w:eastAsia="宋体" w:cs="Calibri"/>
          </w:rPr>
          <w:t>净利润</w:t>
        </w:r>
      </w:ins>
      <w:del w:id="102" w:author="张审阅" w:date="2026-07-01T09:00:00Z">
        <w:r>
          <w:rPr>
            <w:rFonts w:ascii="Calibri" w:hAnsi="Calibri" w:eastAsia="宋体" w:cs="Calibri"/>
          </w:rPr>
          <w:delText>扣非净利</w:delText>
        </w:r>
      </w:del>
      <w:r>
        <w:rPr>
          <w:rFonts w:ascii="Calibri" w:hAnsi="Calibri" w:eastAsia="宋体" w:cs="Calibri"/>
        </w:rPr>
        <w:t>同比增长。</w:t>
      </w:r>
    </w:p>
    <w:p>
      <w:commentRangeStart w:id="1"/>
      <w:r>
        <w:rPr>
          <w:rFonts w:ascii="Calibri" w:hAnsi="Calibri" w:eastAsia="宋体" w:cs="Calibri"/>
        </w:rPr>
        <w:t>待核对的应收账款余额</w:t>
      </w:r>
      <w:commentRangeEnd w:id="1"/>
      <w:r>
        <w:rPr>
          <w:rStyle w:val="CommentReference"/>
        </w:rPr>
        <w:commentReference w:id="1"/>
      </w:r>
    </w:p>
    <w:p>
      <w:hyperlink r:id="rId9">
        <w:r>
          <w:rPr>
            <w:rStyle w:val="Hyperlink"/>
            <w:rFonts w:ascii="Calibri" w:hAnsi="Calibri" w:eastAsia="宋体" w:cs="Calibri"/>
          </w:rPr>
          <w:t>季度报告存档</w:t>
        </w:r>
      </w:hyperlink>
    </w:p>
    <w:tbl>
      <w:tblPr>
        <w:tblStyle w:val="TableGrid"/>
        <w:tblW w:w="7500" w:type="dxa"/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项目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本季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同比</w:t>
            </w:r>
          </w:p>
        </w:tc>
      </w:tr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营业收入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1,240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+12%</w:t>
            </w:r>
          </w:p>
        </w:tc>
      </w:tr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毛利率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38%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+1.2pt</w:t>
            </w:r>
          </w:p>
        </w:tc>
      </w:tr>
    </w:tbl>
    <w:sectPr>
      <w:headerReference w:type="default" r:id="rId5"/>
      <w:footerReference w:type="default" r:id="rId6"/>
      <w:pgSz w:w="11906" w:h="16838"/>
      <w:pgMar w:top="1440" w:right="1440" w:bottom="1440" w:left="1440" w:header="851" w:footer="992" w:gutter="0"/>
      <w:cols w:space="425"/>
      <w:docGrid w:type="lines" w:linePitch="312"/>
    </w:sectPr>
    <w:p>
      <w:r>
        <w:rPr>
          <w:rFonts w:ascii="Calibri" w:hAnsi="Calibri" w:eastAsia="宋体" w:cs="Calibri"/>
        </w:rPr>
        <w:drawing>
          <wp:inline distT="0" distB="0" distL="0" distR="0">
            <wp:extent cx="914400" cy="914400"/>
            <wp:effectExtent l="0" t="0" r="0" b="0"/>
            <wp:docPr id="1" name="Picture 1" descr="季度趋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1" w:author="李复核" w:date="2026-07-02T10:15:00Z" w:initials="L">
    <w:p>
      <w:pPr>
        <w:pStyle w:val="CommentText"/>
      </w:pPr>
      <w:r>
        <w:rPr>
          <w:rFonts w:ascii="Calibri" w:hAnsi="Calibri" w:eastAsia="宋体" w:cs="Calibri"/>
        </w:rPr>
        <w:t>请与银行流水核对后再定稿。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family w:val="swiss"/>
    <w:pitch w:val="variable"/>
  </w:font>
  <w:font w:name="宋体"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rFonts w:ascii="Calibri" w:hAnsi="Calibri" w:eastAsia="宋体" w:cs="Calibri"/>
      </w:rPr>
      <w:fldChar w:fldCharType="begin"/>
    </w:r>
    <w:r>
      <w:rPr>
        <w:rFonts w:ascii="Calibri" w:hAnsi="Calibri" w:eastAsia="宋体" w:cs="Calibri"/>
      </w:rPr>
      <w:instrText xml:space="preserve"> PAGE </w:instrText>
    </w:r>
    <w:r>
      <w:rPr>
        <w:rFonts w:ascii="Calibri" w:hAnsi="Calibri" w:eastAsia="宋体" w:cs="Calibri"/>
      </w:rPr>
      <w:fldChar w:fldCharType="separate"/>
    </w:r>
    <w:r>
      <w:rPr>
        <w:rFonts w:ascii="Calibri" w:hAnsi="Calibri" w:eastAsia="宋体" w:cs="Calibri"/>
      </w:rPr>
      <w:t>1</w:t>
    </w:r>
    <w:r>
      <w:rPr>
        <w:rFonts w:ascii="Calibri" w:hAnsi="Calibri" w:eastAsia="宋体" w:cs="Calibri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rFonts w:ascii="Calibri" w:hAnsi="Calibri" w:eastAsia="宋体" w:cs="Calibri"/>
      </w:rPr>
      <w:t>内部资料 · 请勿外传 · 密级：{{密级}}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nsid w:val="12345678"/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宋体" w:cs="Calibri"/>
        <w:sz w:val="21"/>
        <w:szCs w:val="22"/>
      </w:rPr>
    </w:rPrDefault>
    <w:pPrDefault>
      <w:pPr>
        <w:spacing w:after="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40" w:after="330"/>
      <w:outlineLvl w:val="0"/>
    </w:pPr>
    <w:rPr>
      <w:b/>
      <w:bCs/>
      <w:sz w:val="32"/>
      <w:szCs w:val="32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CommentReference">
    <w:name w:val="annotation reference"/>
    <w:uiPriority w:val="99"/>
    <w:semiHidden/>
    <w:unhideWhenUsed/>
    <w:rPr>
      <w:sz w:val="21"/>
      <w:szCs w:val="21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table" w:styleId="TableGrid">
    <w:name w:val="Table Grid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comments" Target="comments.xml"/><Relationship Id="rId8" Type="http://schemas.openxmlformats.org/officeDocument/2006/relationships/image" Target="media/image1.png"/><Relationship Id="rId9" Type="http://schemas.openxmlformats.org/officeDocument/2006/relationships/hyperlink" Target="https://example.invalid/reports/2026q3" TargetMode="External"/><Relationship Id="rId10" Type="http://schemas.openxmlformats.org/officeDocument/2006/relationships/customXml" Target="../customXml/item1.xml"/></Relationships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 xmlns="urn:ultrawork:fixture">
  <period>2026Q3</period>
  <owner>财务部</owner>
</data>
</file>

<file path=customXml/itemProps1.xml><?xml version="1.0" encoding="utf-8"?>
<ds:datastoreItem xmlns:ds="http://schemas.openxmlformats.org/officeDocument/2006/customXml" ds:itemID="{5B3A1F0C-2C4E-4F6B-9E11-3D77A0C51D42}">
  <ds:schemaRefs>
    <ds:schemaRef ds:uri="urn:ultrawork:fixtur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ultrawork docx skill</Application>
  <DocSecurity>0</DocSecurity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二零二六年第三季度经营分析报告</dc:title>
  <dc:creator>ultrawork</dc:creator>
  <cp:lastModifiedBy>ultrawork</cp:lastModifiedBy>
  <dcterms:created xsi:type="dcterms:W3CDTF">2026-07-01T08:00:00Z</dcterms:created>
  <dcterms:modified xsi:type="dcterms:W3CDTF">2026-07-02T10:20:00Z</dcterms:modified>
</cp:coreProperties>
</file>