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组织架构与流程手册</w:t>
      </w:r>
    </w:p>
    <w:p>
      <w:pPr>
        <w:pStyle w:val="Heading1"/>
      </w:pPr>
      <w:r>
        <w:t>第一章 总则</w:t>
      </w:r>
    </w:p>
    <w:p>
      <w:r>
        <w:t>本章说明手册的适用范围与基本原则，适用于全体正式员工与外包协作人员。</w:t>
      </w:r>
    </w:p>
    <w:p>
      <w:pPr>
        <w:pStyle w:val="Heading1"/>
      </w:pPr>
      <w:r>
        <w:t>第二章 组织架构</w:t>
      </w:r>
    </w:p>
    <w:p>
      <w:bookmarkStart w:id="101" w:name="察元书签甲"/>
      <w:r>
        <w:t>公司下设产品部、研发部、市场部与交付部四个一级部门，各部门负责人直接向总经理汇报。</w:t>
      </w:r>
      <w:bookmarkEnd w:id="101"/>
    </w:p>
    <w:p>
      <w:pPr>
        <w:pStyle w:val="Heading1"/>
      </w:pPr>
      <w:r>
        <w:t>第三章 业务流程</w:t>
      </w:r>
    </w:p>
    <w:p>
      <w:r>
        <w:t>业务流程包括需求受理、方案评审、开发实施、验收交付四个环节，每个环节都有明确的责任人。</w:t>
      </w:r>
    </w:p>
    <w:p>
      <w:bookmarkStart w:id="102" w:name="察元书签乙"/>
      <w:r>
        <w:t>重大项目的流程变更必须经过变更委员会评审，评审通过后方可执行。</w:t>
      </w:r>
      <w:bookmarkEnd w:id="102"/>
    </w:p>
    <w:p>
      <w:pPr>
        <w:pStyle w:val="Heading1"/>
      </w:pPr>
      <w:r>
        <w:t>第四章 附则</w:t>
      </w:r>
    </w:p>
    <w:p>
      <w:r>
        <w:t>本手册自发布之日起施行，由综合管理部负责解释与修订。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