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FD1B4">
      <w:pPr>
        <w:jc w:val="center"/>
      </w:pPr>
      <w:r>
        <w:rPr>
          <w:rFonts w:hint="eastAsia"/>
          <w:b/>
          <w:color w:val="0B2545"/>
          <w:sz w:val="48"/>
          <w:lang w:val="en-US" w:eastAsia="zh-CN"/>
        </w:rPr>
        <w:t>进展报告</w:t>
      </w:r>
    </w:p>
    <w:p w14:paraId="40AE82ED">
      <w:r>
        <w:rPr>
          <w:rFonts w:hint="eastAsia"/>
          <w:lang w:val="en-US" w:eastAsia="zh-CN"/>
        </w:rPr>
        <w:t>主要围绕新疆 1500 RGB-D 包裹分割数据集以及 YOLO11 RGB-D 融合模块展开，重点验证 spatial_illum 和 learnable_blend 是否能够在 RGB 过曝、Depth 保持不变时自动调整两种模态的权重。</w:t>
      </w:r>
    </w:p>
    <w:p w14:paraId="02BE31E6">
      <w:pPr>
        <w:pStyle w:val="16"/>
      </w:pPr>
      <w:r>
        <w:t>完成 Dataset/xinjiang_1500_baoguang 的目录、数据划分、标签格式和曝光增强来源梳理，并使用 val_ab 中 normal 与 _realexp 成对数据验证局部过曝响应。</w:t>
      </w:r>
    </w:p>
    <w:p w14:paraId="6450973C">
      <w:pPr>
        <w:pStyle w:val="16"/>
      </w:pPr>
      <w:r>
        <w:t>明确 spatial_illum 的工作方式：在 P3/P4/P5 融合层拼接 RGB 与 Depth 特征，并从 RGB 特征图计算 7×7 局部均值和标准差，生成空间权重 alpha；alpha 越大越依赖 RGB，1-alpha 越大越依赖 Depth。</w:t>
      </w:r>
    </w:p>
    <w:p w14:paraId="08E5B43F">
      <w:pPr>
        <w:pStyle w:val="16"/>
      </w:pPr>
      <w:r>
        <w:t>使用 candidate_instance_manifest.csv 中 split=val、selected=1 的实例，读取对应 YOLO segmentation polygon 并栅格化为 mask，从而只统计真正接受曝光增强的包裹区域。</w:t>
      </w:r>
    </w:p>
    <w:p w14:paraId="74C90199">
      <w:pPr>
        <w:pStyle w:val="16"/>
      </w:pPr>
      <w:r>
        <w:t>验证目标是比较同一包裹在 normal 和 _realexp 图像中的门控变化，判断 RGB 变差而 Depth 不变时，模型是否提高 Depth 权重。</w:t>
      </w:r>
    </w:p>
    <w:p w14:paraId="684A198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  <w:t>spatial_illum 实验结果：</w:t>
      </w:r>
    </w:p>
    <w:tbl>
      <w:tblPr>
        <w:tblStyle w:val="34"/>
        <w:tblW w:w="1053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6"/>
        <w:gridCol w:w="2233"/>
        <w:gridCol w:w="1392"/>
        <w:gridCol w:w="1024"/>
        <w:gridCol w:w="1517"/>
        <w:gridCol w:w="1873"/>
        <w:gridCol w:w="1020"/>
        <w:gridCol w:w="795"/>
      </w:tblGrid>
      <w:tr w14:paraId="7A945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cantSplit/>
          <w:trHeight w:val="0" w:hRule="atLeast"/>
          <w:tblHeader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058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BEE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82E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Normal-alpha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EE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Normal-(1-alpha)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095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Exposed-alpha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5035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Exposed-(1-alpha)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077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曝光后 Depth 变化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433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Depth 增加比例</w:t>
            </w:r>
          </w:p>
        </w:tc>
      </w:tr>
      <w:tr w14:paraId="2D733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89D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P3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085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model.36.coord_att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026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0.9363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706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0.0637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D2E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0.9552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923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0.0448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A66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-0.0188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9B9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6.5%</w:t>
            </w:r>
          </w:p>
        </w:tc>
      </w:tr>
      <w:tr w14:paraId="3C532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1DF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P4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CB0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model.37.coord_att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84E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0.8269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571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0.1731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463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0.8380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3DC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0.1620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2DC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-0.0111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62D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29.1%</w:t>
            </w:r>
          </w:p>
        </w:tc>
      </w:tr>
      <w:tr w14:paraId="39838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tblCellSpacing w:w="15" w:type="dxa"/>
          <w:jc w:val="center"/>
        </w:trPr>
        <w:tc>
          <w:tcPr>
            <w:tcW w:w="631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3C1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P5</w:t>
            </w:r>
          </w:p>
        </w:tc>
        <w:tc>
          <w:tcPr>
            <w:tcW w:w="220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C24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13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model.38.coord_att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A3D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0.6541</w:t>
            </w:r>
          </w:p>
        </w:tc>
        <w:tc>
          <w:tcPr>
            <w:tcW w:w="99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2A1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0.3459</w:t>
            </w:r>
          </w:p>
        </w:tc>
        <w:tc>
          <w:tcPr>
            <w:tcW w:w="1487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F5D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0.6350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50E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0.3650</w:t>
            </w:r>
          </w:p>
        </w:tc>
        <w:tc>
          <w:tcPr>
            <w:tcW w:w="99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041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+0.0191</w:t>
            </w:r>
          </w:p>
        </w:tc>
        <w:tc>
          <w:tcPr>
            <w:tcW w:w="750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1A0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71.7%</w:t>
            </w:r>
          </w:p>
        </w:tc>
      </w:tr>
    </w:tbl>
    <w:p w14:paraId="10B1CA3B">
      <w:r>
        <w:rPr>
          <w:rFonts w:hint="eastAsia"/>
          <w:lang w:val="en-US" w:eastAsia="zh-CN"/>
        </w:rPr>
        <w:t>P3/P4 在曝光包裹区域没有增强 Depth，反而使 alpha 上升、1-alpha 下降；P5 符合设计预期，曝光后 alpha 从 0.6541 降至 0.6350，Depth 权重从 0.3459 升至 0.3650，平均增加 0.0191，且 71.7% 的图像对方向正确。</w:t>
      </w:r>
    </w:p>
    <w:p w14:paraId="43D31A6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  <w:t>learnable_blend 参数结果：</w:t>
      </w:r>
    </w:p>
    <w:tbl>
      <w:tblPr>
        <w:tblStyle w:val="34"/>
        <w:tblW w:w="9444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4026"/>
        <w:gridCol w:w="2301"/>
        <w:gridCol w:w="2108"/>
      </w:tblGrid>
      <w:tr w14:paraId="74D8B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4EEF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层级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A7BBE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80A0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blend_base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5C7B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blend_out</w:t>
            </w:r>
          </w:p>
        </w:tc>
      </w:tr>
      <w:tr w14:paraId="6DC22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709C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P3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9762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model.36.coord_att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56FEB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0.5456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7A56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0.4544</w:t>
            </w:r>
          </w:p>
        </w:tc>
      </w:tr>
      <w:tr w14:paraId="3AE9C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34F9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P4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17F2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model.37.coord_att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C509A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0.5461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F4EA2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0.4539</w:t>
            </w:r>
          </w:p>
        </w:tc>
      </w:tr>
      <w:tr w14:paraId="3CDB3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tblCellSpacing w:w="15" w:type="dxa"/>
          <w:jc w:val="center"/>
        </w:trPr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B0FE0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P5</w:t>
            </w:r>
          </w:p>
        </w:tc>
        <w:tc>
          <w:tcPr>
            <w:tcW w:w="3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2DA91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model.38.coord_att</w:t>
            </w:r>
          </w:p>
        </w:tc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6D53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0.4556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95CF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0.5444</w:t>
            </w:r>
          </w:p>
        </w:tc>
      </w:tr>
    </w:tbl>
    <w:p w14:paraId="624FCD87">
      <w:pPr>
        <w:pStyle w:val="16"/>
      </w:pPr>
      <w:r>
        <w:t>spatial_illum 的有效响应主要出现在 P5；P3/P4 当前方向不理想。learnable_blend 主要学到轻微的全局比例调整，并不是曝光区域自适应的主要证据。</w:t>
      </w:r>
    </w:p>
    <w:p w14:paraId="0D6676BB">
      <w:pPr>
        <w:pStyle w:val="16"/>
      </w:pPr>
      <w:r>
        <w:t>原因判断是 P5 感受野更大、语义更强，更容易识别包裹整体因曝光失真而需要依赖 Depth；P3/P4 更关注纹理和边缘，亮度变化可能增强局部 RGB 响应，同时缺少显式 gate loss 监督。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F6E88"/>
    <w:rsid w:val="7D6B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1287</Words>
  <Characters>2355</Characters>
  <Lines>0</Lines>
  <Paragraphs>0</Paragraphs>
  <TotalTime>248</TotalTime>
  <ScaleCrop>false</ScaleCrop>
  <LinksUpToDate>false</LinksUpToDate>
  <CharactersWithSpaces>2550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WPS_1630931622</cp:lastModifiedBy>
  <dcterms:modified xsi:type="dcterms:W3CDTF">2026-08-10T07:42:19Z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eyJoZGlkIjoiMTdjZWFmMzg5YmE3Mjg0MjdmNjFhZGVjZTlhNWNhODUiLCJ1c2VySWQiOiIxMjYwNjY2MjE1In0=</vt:lpwstr>
  </property>
  <property fmtid="{D5CDD505-2E9C-101B-9397-08002B2CF9AE}" pid="3" name="KSOProductBuildVer">
    <vt:lpwstr>2052-12.1.0.28043</vt:lpwstr>
  </property>
  <property fmtid="{D5CDD505-2E9C-101B-9397-08002B2CF9AE}" pid="4" name="ICV">
    <vt:lpwstr>FE934833350C47FA9E3476C2FD5D0962_12</vt:lpwstr>
  </property>
</Properties>
</file>