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406B25">
      <w:pPr>
        <w:jc w:val="center"/>
      </w:pPr>
      <w:r>
        <w:rPr>
          <w:rFonts w:ascii="Calibri" w:hAnsi="Calibri" w:eastAsia="微软雅黑"/>
          <w:b/>
          <w:color w:val="0B2545"/>
          <w:sz w:val="48"/>
        </w:rPr>
        <w:t>工作日报</w:t>
      </w:r>
    </w:p>
    <w:p w14:paraId="66A116B6">
      <w:pPr>
        <w:ind w:firstLine="720" w:firstLineChars="0"/>
      </w:pPr>
      <w:r>
        <w:rPr>
          <w:rFonts w:hint="eastAsia"/>
          <w:b w:val="0"/>
          <w:lang w:val="en-US" w:eastAsia="zh-CN"/>
        </w:rPr>
        <w:t>今天又仔细分析了一下项目中的P3 Wavelet-Guided CoorattV2部分，我特别分析了这个模块接收到的两个输入分别为rgb+depth_low（LL）作为输入是否合适，</w:t>
      </w:r>
      <w:r>
        <w:rPr>
          <w:rFonts w:ascii="Calibri" w:hAnsi="Calibri" w:eastAsia="微软雅黑"/>
          <w:b w:val="0"/>
          <w:sz w:val="22"/>
        </w:rPr>
        <w:t>高频 LH/HL/HH 是否更适合作为 edge_gate 的边缘增强信号</w:t>
      </w:r>
      <w:r>
        <w:rPr>
          <w:rFonts w:hint="eastAsia"/>
          <w:b w:val="0"/>
          <w:sz w:val="22"/>
          <w:lang w:eastAsia="zh-CN"/>
        </w:rPr>
        <w:t>，</w:t>
      </w:r>
      <w:r>
        <w:rPr>
          <w:rFonts w:hint="eastAsia"/>
          <w:b w:val="0"/>
          <w:lang w:val="en-US" w:eastAsia="zh-CN"/>
        </w:rPr>
        <w:t>并且制作了可视化的图和可以说服性的数据，进行了结果分析。</w:t>
      </w:r>
    </w:p>
    <w:p w14:paraId="2B3D22F4">
      <w:pPr>
        <w:jc w:val="center"/>
      </w:pPr>
      <w:r>
        <w:drawing>
          <wp:inline distT="0" distB="0" distL="114300" distR="114300">
            <wp:extent cx="5715000" cy="25971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ADEE">
      <w:pPr>
        <w:spacing w:after="160"/>
        <w:jc w:val="center"/>
      </w:pPr>
      <w:r>
        <w:rPr>
          <w:rFonts w:ascii="Calibri" w:hAnsi="Calibri" w:eastAsia="微软雅黑"/>
          <w:color w:val="555555"/>
          <w:sz w:val="18"/>
        </w:rPr>
        <w:t>图 1：S8 P3 wavelet-guided CoordAttV2 数据流。LL 作为稳定几何输入，高频分量生成 edge_gate。</w:t>
      </w:r>
    </w:p>
    <w:p w14:paraId="78C5822B">
      <w:pPr>
        <w:ind w:firstLine="720" w:firstLineChars="0"/>
        <w:rPr>
          <w:rFonts w:ascii="Calibri" w:hAnsi="Calibri" w:eastAsia="微软雅黑"/>
          <w:b w:val="0"/>
          <w:sz w:val="22"/>
        </w:rPr>
      </w:pPr>
      <w:r>
        <w:rPr>
          <w:rFonts w:ascii="Calibri" w:hAnsi="Calibri" w:eastAsia="微软雅黑"/>
          <w:b w:val="0"/>
          <w:sz w:val="22"/>
        </w:rPr>
        <w:t>从结构上看，S8 将深度特征分成两类用途：LL 进入 CoordAttV2 主融合路径，承担深度主体结构和坐标方向信息；LH/HL/HH 被压缩为单通道 edge_gate，对 base 融合结果进行乘性增强。这样的设计避免把高频噪声直接混入主融合路径，同时保留边界增强能力。</w:t>
      </w:r>
    </w:p>
    <w:p w14:paraId="0499134A">
      <w:pPr>
        <w:ind w:firstLine="720" w:firstLineChars="0"/>
        <w:rPr>
          <w:rFonts w:ascii="Calibri" w:hAnsi="Calibri" w:eastAsia="微软雅黑"/>
          <w:b w:val="0"/>
          <w:sz w:val="22"/>
        </w:rPr>
      </w:pPr>
      <w:r>
        <w:rPr>
          <w:rFonts w:hint="eastAsia"/>
          <w:b w:val="0"/>
          <w:lang w:val="en-US" w:eastAsia="zh-CN"/>
        </w:rPr>
        <w:t>使用的是Dataset/xinjiang_1500 val 前 200 张。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168"/>
        <w:gridCol w:w="1648"/>
        <w:gridCol w:w="1906"/>
        <w:gridCol w:w="3638"/>
      </w:tblGrid>
      <w:tr w14:paraId="2196C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8" w:type="dxa"/>
            <w:shd w:val="clear" w:color="auto" w:fill="F2F4F7"/>
            <w:vAlign w:val="center"/>
          </w:tcPr>
          <w:p w14:paraId="140CC925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指标</w:t>
            </w:r>
          </w:p>
        </w:tc>
        <w:tc>
          <w:tcPr>
            <w:tcW w:w="1648" w:type="dxa"/>
            <w:shd w:val="clear" w:color="auto" w:fill="F2F4F7"/>
            <w:vAlign w:val="center"/>
          </w:tcPr>
          <w:p w14:paraId="4F808A0B">
            <w:pPr>
              <w:spacing w:after="40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/>
                <w:sz w:val="19"/>
              </w:rPr>
              <w:t>Mean</w:t>
            </w:r>
            <w:r>
              <w:rPr>
                <w:rFonts w:hint="eastAsia"/>
                <w:sz w:val="19"/>
                <w:lang w:eastAsia="zh-CN"/>
              </w:rPr>
              <w:t>（</w:t>
            </w:r>
            <w:r>
              <w:rPr>
                <w:rFonts w:hint="eastAsia"/>
                <w:sz w:val="19"/>
                <w:lang w:val="en-US" w:eastAsia="zh-CN"/>
              </w:rPr>
              <w:t>均值</w:t>
            </w:r>
            <w:r>
              <w:rPr>
                <w:rFonts w:hint="eastAsia"/>
                <w:sz w:val="19"/>
                <w:lang w:eastAsia="zh-CN"/>
              </w:rPr>
              <w:t>）</w:t>
            </w:r>
          </w:p>
        </w:tc>
        <w:tc>
          <w:tcPr>
            <w:tcW w:w="1906" w:type="dxa"/>
            <w:shd w:val="clear" w:color="auto" w:fill="F2F4F7"/>
            <w:vAlign w:val="center"/>
          </w:tcPr>
          <w:p w14:paraId="3E3878DC">
            <w:pPr>
              <w:spacing w:after="40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/>
                <w:sz w:val="19"/>
              </w:rPr>
              <w:t>Median</w:t>
            </w:r>
            <w:r>
              <w:rPr>
                <w:rFonts w:hint="eastAsia"/>
                <w:sz w:val="19"/>
                <w:lang w:eastAsia="zh-CN"/>
              </w:rPr>
              <w:t>（</w:t>
            </w:r>
            <w:r>
              <w:rPr>
                <w:rFonts w:hint="eastAsia"/>
                <w:sz w:val="19"/>
                <w:lang w:val="en-US" w:eastAsia="zh-CN"/>
              </w:rPr>
              <w:t>中位数</w:t>
            </w:r>
            <w:r>
              <w:rPr>
                <w:rFonts w:hint="eastAsia"/>
                <w:sz w:val="19"/>
                <w:lang w:eastAsia="zh-CN"/>
              </w:rPr>
              <w:t>）</w:t>
            </w:r>
          </w:p>
        </w:tc>
        <w:tc>
          <w:tcPr>
            <w:tcW w:w="3638" w:type="dxa"/>
            <w:shd w:val="clear" w:color="auto" w:fill="F2F4F7"/>
            <w:vAlign w:val="center"/>
          </w:tcPr>
          <w:p w14:paraId="2D6018CF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解释</w:t>
            </w:r>
          </w:p>
        </w:tc>
      </w:tr>
      <w:tr w14:paraId="5758B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68" w:type="dxa"/>
            <w:vAlign w:val="center"/>
          </w:tcPr>
          <w:p w14:paraId="2DFE4A0E">
            <w:pPr>
              <w:spacing w:after="40"/>
              <w:rPr>
                <w:rFonts w:ascii="Calibri" w:hAnsi="Calibri" w:eastAsia="微软雅黑"/>
                <w:sz w:val="19"/>
              </w:rPr>
            </w:pPr>
            <w:r>
              <w:rPr>
                <w:rFonts w:ascii="Calibri" w:hAnsi="Calibri" w:eastAsia="微软雅黑"/>
                <w:sz w:val="19"/>
              </w:rPr>
              <w:t>LL-depth Pearson r</w:t>
            </w:r>
          </w:p>
          <w:p w14:paraId="3E404CAA">
            <w:pPr>
              <w:spacing w:after="40"/>
              <w:rPr>
                <w:rFonts w:hint="default" w:ascii="Calibri" w:hAnsi="Calibri" w:eastAsia="微软雅黑"/>
                <w:sz w:val="19"/>
                <w:lang w:val="en-US" w:eastAsia="zh-CN"/>
              </w:rPr>
            </w:pPr>
            <w:r>
              <w:rPr>
                <w:rFonts w:hint="eastAsia"/>
                <w:sz w:val="19"/>
                <w:lang w:val="en-US" w:eastAsia="zh-CN"/>
              </w:rPr>
              <w:t>(</w:t>
            </w:r>
            <w:r>
              <w:rPr>
                <w:rFonts w:ascii="宋体" w:hAnsi="宋体" w:eastAsia="宋体" w:cs="宋体"/>
                <w:sz w:val="18"/>
                <w:szCs w:val="18"/>
              </w:rPr>
              <w:t>皮尔逊相关系数</w:t>
            </w:r>
            <w:r>
              <w:rPr>
                <w:rFonts w:hint="eastAsia"/>
                <w:sz w:val="19"/>
                <w:lang w:val="en-US" w:eastAsia="zh-CN"/>
              </w:rPr>
              <w:t>)</w:t>
            </w:r>
          </w:p>
        </w:tc>
        <w:tc>
          <w:tcPr>
            <w:tcW w:w="1648" w:type="dxa"/>
            <w:vAlign w:val="center"/>
          </w:tcPr>
          <w:p w14:paraId="069CB26C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0.9572</w:t>
            </w:r>
          </w:p>
        </w:tc>
        <w:tc>
          <w:tcPr>
            <w:tcW w:w="1906" w:type="dxa"/>
            <w:vAlign w:val="center"/>
          </w:tcPr>
          <w:p w14:paraId="756BE48B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0.9607</w:t>
            </w:r>
          </w:p>
        </w:tc>
        <w:tc>
          <w:tcPr>
            <w:tcW w:w="3638" w:type="dxa"/>
            <w:vAlign w:val="center"/>
          </w:tcPr>
          <w:p w14:paraId="19BC374F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LL 与原始 depth 的结构一致性，</w:t>
            </w:r>
            <w:r>
              <w:rPr>
                <w:rFonts w:hint="eastAsia" w:ascii="Calibri" w:hAnsi="Calibri" w:eastAsia="微软雅黑"/>
                <w:sz w:val="19"/>
                <w:lang w:val="en-US" w:eastAsia="zh-CN"/>
              </w:rPr>
              <w:t>越接近1越相关，</w:t>
            </w:r>
            <w:r>
              <w:rPr>
                <w:rFonts w:ascii="Calibri" w:hAnsi="Calibri" w:eastAsia="微软雅黑"/>
                <w:sz w:val="19"/>
              </w:rPr>
              <w:t>高说明 LL 保留主体深度几何。</w:t>
            </w:r>
          </w:p>
        </w:tc>
      </w:tr>
      <w:tr w14:paraId="1C0909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68" w:type="dxa"/>
            <w:vAlign w:val="center"/>
          </w:tcPr>
          <w:p w14:paraId="07164894">
            <w:pPr>
              <w:spacing w:after="40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/>
                <w:sz w:val="19"/>
              </w:rPr>
              <w:t>LL-depth PSNR</w:t>
            </w:r>
            <w:r>
              <w:rPr>
                <w:rFonts w:hint="eastAsia"/>
                <w:sz w:val="19"/>
                <w:lang w:eastAsia="zh-CN"/>
              </w:rPr>
              <w:t>（</w:t>
            </w:r>
            <w:r>
              <w:rPr>
                <w:rFonts w:ascii="宋体" w:hAnsi="宋体" w:eastAsia="宋体" w:cs="宋体"/>
                <w:sz w:val="18"/>
                <w:szCs w:val="18"/>
              </w:rPr>
              <w:t>峰值信噪比</w:t>
            </w:r>
            <w:r>
              <w:rPr>
                <w:rFonts w:hint="eastAsia"/>
                <w:sz w:val="19"/>
                <w:lang w:eastAsia="zh-CN"/>
              </w:rPr>
              <w:t>）</w:t>
            </w:r>
          </w:p>
        </w:tc>
        <w:tc>
          <w:tcPr>
            <w:tcW w:w="1648" w:type="dxa"/>
            <w:vAlign w:val="center"/>
          </w:tcPr>
          <w:p w14:paraId="5BCC146B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23.38 dB</w:t>
            </w:r>
          </w:p>
        </w:tc>
        <w:tc>
          <w:tcPr>
            <w:tcW w:w="1906" w:type="dxa"/>
            <w:vAlign w:val="center"/>
          </w:tcPr>
          <w:p w14:paraId="66E2AB9D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23.73 dB</w:t>
            </w:r>
          </w:p>
        </w:tc>
        <w:tc>
          <w:tcPr>
            <w:tcW w:w="3638" w:type="dxa"/>
            <w:vAlign w:val="center"/>
          </w:tcPr>
          <w:p w14:paraId="35462AED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LL 作为平滑重构的保真度</w:t>
            </w:r>
            <w:r>
              <w:rPr>
                <w:rFonts w:hint="eastAsia" w:ascii="Calibri" w:hAnsi="Calibri" w:eastAsia="微软雅黑"/>
                <w:sz w:val="19"/>
                <w:lang w:eastAsia="zh-CN"/>
              </w:rPr>
              <w:t>，</w:t>
            </w:r>
            <w:r>
              <w:rPr>
                <w:rFonts w:ascii="Calibri" w:hAnsi="Calibri" w:eastAsia="微软雅黑"/>
                <w:sz w:val="19"/>
              </w:rPr>
              <w:t>用来衡量 LL 重构回原图尺寸后，与原始 depth 的差异大小</w:t>
            </w:r>
            <w:r>
              <w:rPr>
                <w:rFonts w:ascii="Calibri" w:hAnsi="Calibri" w:eastAsia="微软雅黑"/>
                <w:sz w:val="19"/>
              </w:rPr>
              <w:t>，反映低频分量并非丢弃 depth 信息。</w:t>
            </w:r>
          </w:p>
        </w:tc>
      </w:tr>
      <w:tr w14:paraId="656C2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68" w:type="dxa"/>
            <w:vAlign w:val="center"/>
          </w:tcPr>
          <w:p w14:paraId="1D255014">
            <w:pPr>
              <w:spacing w:after="40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/>
                <w:sz w:val="19"/>
              </w:rPr>
              <w:t>LL energy share</w:t>
            </w:r>
          </w:p>
        </w:tc>
        <w:tc>
          <w:tcPr>
            <w:tcW w:w="1648" w:type="dxa"/>
            <w:vAlign w:val="center"/>
          </w:tcPr>
          <w:p w14:paraId="60449B49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0.9860</w:t>
            </w:r>
          </w:p>
        </w:tc>
        <w:tc>
          <w:tcPr>
            <w:tcW w:w="1906" w:type="dxa"/>
            <w:vAlign w:val="center"/>
          </w:tcPr>
          <w:p w14:paraId="2E96205C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0.9878</w:t>
            </w:r>
          </w:p>
        </w:tc>
        <w:tc>
          <w:tcPr>
            <w:tcW w:w="3638" w:type="dxa"/>
            <w:vAlign w:val="center"/>
          </w:tcPr>
          <w:p w14:paraId="6F0670B7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Haar 系数能量中由低频承载的比例，说明主体结构主要在 LL。</w:t>
            </w:r>
          </w:p>
        </w:tc>
      </w:tr>
      <w:tr w14:paraId="28E4A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68" w:type="dxa"/>
            <w:vAlign w:val="center"/>
          </w:tcPr>
          <w:p w14:paraId="56BBA984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HF-boundary AUC</w:t>
            </w:r>
          </w:p>
        </w:tc>
        <w:tc>
          <w:tcPr>
            <w:tcW w:w="1648" w:type="dxa"/>
            <w:vAlign w:val="center"/>
          </w:tcPr>
          <w:p w14:paraId="470969D2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0.6299</w:t>
            </w:r>
          </w:p>
        </w:tc>
        <w:tc>
          <w:tcPr>
            <w:tcW w:w="1906" w:type="dxa"/>
            <w:vAlign w:val="center"/>
          </w:tcPr>
          <w:p w14:paraId="3807B3EE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0.6268</w:t>
            </w:r>
          </w:p>
        </w:tc>
        <w:tc>
          <w:tcPr>
            <w:tcW w:w="3638" w:type="dxa"/>
            <w:vAlign w:val="center"/>
          </w:tcPr>
          <w:p w14:paraId="3956E217">
            <w:pPr>
              <w:spacing w:after="40"/>
              <w:rPr>
                <w:rFonts w:hint="eastAsia" w:eastAsia="微软雅黑"/>
                <w:lang w:eastAsia="zh-CN"/>
              </w:rPr>
            </w:pPr>
            <w:r>
              <w:rPr>
                <w:rFonts w:ascii="Calibri" w:hAnsi="Calibri" w:eastAsia="微软雅黑"/>
                <w:sz w:val="19"/>
              </w:rPr>
              <w:t>高频幅值对 GT mask 边界的区分度，反映其边缘增强价值。0.5 约等于随机猜测，越接近 1 越好</w:t>
            </w:r>
            <w:r>
              <w:rPr>
                <w:rFonts w:hint="eastAsia"/>
                <w:sz w:val="19"/>
                <w:lang w:eastAsia="zh-CN"/>
              </w:rPr>
              <w:t>。</w:t>
            </w:r>
          </w:p>
        </w:tc>
      </w:tr>
      <w:tr w14:paraId="159E0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2168" w:type="dxa"/>
            <w:vAlign w:val="center"/>
          </w:tcPr>
          <w:p w14:paraId="319E4A3A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LL-gradient boundary AUC</w:t>
            </w:r>
          </w:p>
        </w:tc>
        <w:tc>
          <w:tcPr>
            <w:tcW w:w="1648" w:type="dxa"/>
            <w:vAlign w:val="center"/>
          </w:tcPr>
          <w:p w14:paraId="1FAA4553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0.6642</w:t>
            </w:r>
          </w:p>
        </w:tc>
        <w:tc>
          <w:tcPr>
            <w:tcW w:w="1906" w:type="dxa"/>
            <w:vAlign w:val="center"/>
          </w:tcPr>
          <w:p w14:paraId="7C6AC5D5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0.6585</w:t>
            </w:r>
          </w:p>
        </w:tc>
        <w:tc>
          <w:tcPr>
            <w:tcW w:w="3638" w:type="dxa"/>
            <w:vAlign w:val="center"/>
          </w:tcPr>
          <w:p w14:paraId="5339575C">
            <w:pPr>
              <w:spacing w:after="40"/>
            </w:pPr>
            <w:r>
              <w:rPr>
                <w:rFonts w:ascii="Calibri" w:hAnsi="Calibri" w:eastAsia="微软雅黑"/>
                <w:sz w:val="19"/>
              </w:rPr>
              <w:t>LL 平滑后仍保留的边界梯度信号，说明 LL 没有抹掉主体轮廓。对 LL 图再计算梯度，然后看 LL 的梯度能不能对应 GT mask 边界</w:t>
            </w:r>
          </w:p>
        </w:tc>
      </w:tr>
    </w:tbl>
    <w:p w14:paraId="0EC80265">
      <w:pPr>
        <w:ind w:firstLine="720" w:firstLineChars="0"/>
      </w:pPr>
      <w:r>
        <w:rPr>
          <w:rFonts w:ascii="Calibri" w:hAnsi="Calibri" w:eastAsia="微软雅黑"/>
          <w:b w:val="0"/>
          <w:sz w:val="22"/>
        </w:rPr>
        <w:t>最核心的两个数字是 LL-depth Pearson r = 0.9572，以及 LL energy share = 0.9860。前者说明 LL 与原始深度图的空间结构高度一致；后者说明 Haar 分解后绝大多数能量位于低频，主体几何主要由 LL 承载。HF-boundary AUC 为 0.6299，说明高频对 GT 边界有中等正向区分能力，但不是完美边界检测器，这一点符合真实深度图中存在背景深度突变、传送带边缘和噪声点的实际情况。</w:t>
      </w:r>
    </w:p>
    <w:p w14:paraId="26BE9663">
      <w:pPr>
        <w:jc w:val="center"/>
      </w:pPr>
      <w:r>
        <w:drawing>
          <wp:inline distT="0" distB="0" distL="114300" distR="114300">
            <wp:extent cx="5760720" cy="1645920"/>
            <wp:effectExtent l="0" t="0" r="508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9E30">
      <w:pPr>
        <w:spacing w:after="160"/>
        <w:jc w:val="center"/>
      </w:pPr>
      <w:r>
        <w:rPr>
          <w:rFonts w:ascii="Calibri" w:hAnsi="Calibri" w:eastAsia="微软雅黑"/>
          <w:color w:val="555555"/>
          <w:sz w:val="18"/>
        </w:rPr>
        <w:t>图 2：总体统计图。左：LL 与 depth 相关性；中：低频能量占比；右：边界对齐 AUC。</w:t>
      </w:r>
    </w:p>
    <w:p w14:paraId="5266F12A">
      <w:pPr>
        <w:jc w:val="center"/>
      </w:pPr>
      <w:r>
        <w:drawing>
          <wp:inline distT="0" distB="0" distL="114300" distR="114300">
            <wp:extent cx="5806440" cy="3573145"/>
            <wp:effectExtent l="0" t="0" r="1016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573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E4239">
      <w:pPr>
        <w:spacing w:after="160"/>
        <w:jc w:val="center"/>
      </w:pPr>
      <w:r>
        <w:rPr>
          <w:rFonts w:ascii="Calibri" w:hAnsi="Calibri" w:eastAsia="微软雅黑"/>
          <w:color w:val="555555"/>
          <w:sz w:val="18"/>
        </w:rPr>
        <w:t>图 3：验证集样本的 RGB、Depth、LL、HF magnitude、GT mask 和 |Depth-LL| 对比。</w:t>
      </w:r>
    </w:p>
    <w:p w14:paraId="5524BB06">
      <w:pPr>
        <w:ind w:firstLine="720" w:firstLineChars="0"/>
      </w:pPr>
      <w:r>
        <w:rPr>
          <w:rFonts w:ascii="Calibri" w:hAnsi="Calibri" w:eastAsia="微软雅黑"/>
          <w:b w:val="0"/>
          <w:sz w:val="22"/>
        </w:rPr>
        <w:t>图 3 可以直观看到：Depth 与 LL upsampled 在主体深度区域和主要轮廓上高度一致，说明 LL 并不是把深度信息丢弃，而是对 depth 做了低通平滑；HF magnitude 主要亮在深度突变、物体边缘、传送带边界和孤立噪声点上，更像局部变化提示。</w:t>
      </w:r>
    </w:p>
    <w:p w14:paraId="4E2AF500">
      <w:pPr>
        <w:ind w:firstLine="720" w:firstLineChars="0"/>
      </w:pPr>
      <w:r>
        <w:rPr>
          <w:rFonts w:ascii="Calibri" w:hAnsi="Calibri" w:eastAsia="微软雅黑"/>
          <w:b w:val="0"/>
          <w:sz w:val="22"/>
        </w:rPr>
        <w:t>因此，把 LL 送入 CoordAttV2 可以让融合模块看到更稳定的深度几何；把 HF 单独作为 edge_gate，则可以让模型在边缘位置放大融合特征，而不会让高频噪声主导 RGB-D 主融合。</w:t>
      </w:r>
    </w:p>
    <w:p w14:paraId="60D49A2F">
      <w:pPr>
        <w:ind w:firstLine="720" w:firstLineChars="0"/>
      </w:pPr>
      <w:r>
        <w:rPr>
          <w:rFonts w:ascii="Calibri" w:hAnsi="Calibri" w:eastAsia="微软雅黑"/>
          <w:b w:val="0"/>
          <w:sz w:val="22"/>
        </w:rPr>
        <w:t>当前证据支持“LL 作为 Depth P3 输入是合适的”。对 CoordAttV2 这类依赖全局池化和坐标方向建模的融合模块而言，输入应尽量稳定、结构清晰、语义连续。LL 正好满足这一点：它保留 depth 主体几何，又降低局部噪声和细碎高频的干扰。</w:t>
      </w:r>
    </w:p>
    <w:p w14:paraId="0B30D0AE">
      <w:pPr>
        <w:ind w:firstLine="720" w:firstLineChars="0"/>
      </w:pPr>
      <w:r>
        <w:rPr>
          <w:rFonts w:ascii="Calibri" w:hAnsi="Calibri" w:eastAsia="微软雅黑"/>
          <w:b w:val="0"/>
          <w:sz w:val="22"/>
        </w:rPr>
        <w:t>高频分量 LH/HL/HH 更适合作为边缘增强分支，因为高频的优势在于捕捉突变和边界，但它同时包含背景边缘、传感器噪声和非目标深度变化。如果直接把高频作为 CoordAttV2 的主 depth 输入，可能会降低融合路径的稳定性。</w:t>
      </w: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7E2089"/>
    <w:rsid w:val="42060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40" w:after="12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TML Code"/>
    <w:basedOn w:val="132"/>
    <w:semiHidden/>
    <w:unhideWhenUsed/>
    <w:uiPriority w:val="99"/>
    <w:rPr>
      <w:rFonts w:ascii="Courier New" w:hAnsi="Courier New"/>
      <w:sz w:val="20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952</Words>
  <Characters>1563</Characters>
  <Lines>0</Lines>
  <Paragraphs>0</Paragraphs>
  <TotalTime>9</TotalTime>
  <ScaleCrop>false</ScaleCrop>
  <LinksUpToDate>false</LinksUpToDate>
  <CharactersWithSpaces>1720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WPS_1630931622</cp:lastModifiedBy>
  <dcterms:modified xsi:type="dcterms:W3CDTF">2026-08-10T14:16:24Z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eyJoZGlkIjoiMTdjZWFmMzg5YmE3Mjg0MjdmNjFhZGVjZTlhNWNhODUiLCJ1c2VySWQiOiIxMjYwNjY2MjE1In0=</vt:lpwstr>
  </property>
  <property fmtid="{D5CDD505-2E9C-101B-9397-08002B2CF9AE}" pid="3" name="KSOProductBuildVer">
    <vt:lpwstr>2052-12.1.0.28043</vt:lpwstr>
  </property>
  <property fmtid="{D5CDD505-2E9C-101B-9397-08002B2CF9AE}" pid="4" name="ICV">
    <vt:lpwstr>C9F632BA45564CE0A674D5EDCF3F9EEA_12</vt:lpwstr>
  </property>
</Properties>
</file>