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面向校园开源社区的可插拔-ai-能力集成与治理机制研究"/>
    <w:p>
      <w:pPr>
        <w:pStyle w:val="Heading1"/>
      </w:pPr>
      <w:r>
        <w:t xml:space="preserve">面向校园开源社区的可插拔 AI 能力集成与治理机制研究</w:t>
      </w:r>
    </w:p>
    <w:p>
      <w:pPr>
        <w:pStyle w:val="FirstParagraph"/>
      </w:pPr>
      <w:r>
        <w:t xml:space="preserve">张官幸 廖燕萍 潘 放 林小意 易祖涛 林维迟 石昌妮</w:t>
      </w:r>
    </w:p>
    <w:p>
      <w:pPr>
        <w:pStyle w:val="BodyText"/>
      </w:pPr>
      <w:r>
        <w:t xml:space="preserve">（桂林电子科技大学 计算机工程学院，广西 桂林 541004）</w:t>
      </w:r>
    </w:p>
    <w:p>
      <w:pPr>
        <w:pStyle w:val="BodyText"/>
      </w:pPr>
      <w:r>
        <w:t xml:space="preserve">摘要：随着大语言模型（LLM）与检索增强生成（RAG）技术的快速普及，AI 能力已成为现代内容社区的标准配置，但对于多数中小高校而言，</w:t>
      </w:r>
      <w:r>
        <w:t xml:space="preserve">“</w:t>
      </w:r>
      <w:r>
        <w:t xml:space="preserve">云端商用模型成本高、本地开源模型运维重、AI 调用滥用与合规风险大</w:t>
      </w:r>
      <w:r>
        <w:t xml:space="preserve">”</w:t>
      </w:r>
      <w:r>
        <w:t xml:space="preserve">等实际顾虑仍显著制约其大规模落地。本文以开源校园学习社群平台 CampusForum 的实际研发经验为基础，提出并实现了一套面向校园开源社区的可插拔 AI 能力集成与治理机制。方案以 OpenAI 兼容协议为通信基线，通过 AiService 抽象接口与租户感知的委托者模式实现了云端商用模型与本地开源模型的任意切换；配套五级降级链保证故障场景下业务连续；通过 model-aware 三级限流、AES-GCM 加密的租户级配置、SSRF 防御与启动期安全校验构建了完整的治理体系。该机制已在真实上线的开源平台中落地并运行，可对中小高校提供 AI 能力”可用、可控、可负担”的参考实现。</w:t>
      </w:r>
    </w:p>
    <w:p>
      <w:pPr>
        <w:pStyle w:val="BodyText"/>
      </w:pPr>
      <w:r>
        <w:t xml:space="preserve">关键词：可插拔 AI; OpenAI 兼容协议; 多级降级; 分级限流; SSRF 防御; 教育大模型</w:t>
      </w:r>
    </w:p>
    <w:p>
      <w:pPr>
        <w:pStyle w:val="BodyText"/>
      </w:pPr>
      <w:r>
        <w:t xml:space="preserve">中图分类号：TP18</w:t>
      </w:r>
    </w:p>
    <w:p>
      <w:r>
        <w:pict>
          <v:rect style="width:0;height:1.5pt" o:hralign="center" o:hrstd="t" o:hr="t"/>
        </w:pict>
      </w:r>
    </w:p>
    <w:bookmarkStart w:id="22" w:name="绪论"/>
    <w:p>
      <w:pPr>
        <w:pStyle w:val="Heading2"/>
      </w:pPr>
      <w:r>
        <w:t xml:space="preserve">1 绪论</w:t>
      </w:r>
    </w:p>
    <w:bookmarkStart w:id="20" w:name="研究背景"/>
    <w:p>
      <w:pPr>
        <w:pStyle w:val="Heading3"/>
      </w:pPr>
      <w:r>
        <w:t xml:space="preserve">1.1 研究背景</w:t>
      </w:r>
    </w:p>
    <w:p>
      <w:pPr>
        <w:pStyle w:val="FirstParagraph"/>
      </w:pPr>
      <w:r>
        <w:t xml:space="preserve">自 2022 年以来，大语言模型（LLM）的能力边界快速扩展，检索增强生成（RAG）技术在 2024 年发表的相关论文数量相比 2023 年增长近 10 倍[1]，AI 助手、AI 摘要、AI 内容审核等能力已成为主流内容社区的标准配置。教育部《教育信息化 2.0 行动计划》与国务院《新一代人工智能发展规划》均明确提出，要推动人工智能在教育领域的深度融合[2-3]，为高校校园平台集成 AI 能力提供了政策支撑。</w:t>
      </w:r>
    </w:p>
    <w:p>
      <w:pPr>
        <w:pStyle w:val="BodyText"/>
      </w:pPr>
      <w:r>
        <w:t xml:space="preserve">然而，将 AI 能力”深度集成”到校园开源社区场景中的实践仍面临若干瓶颈：其一，多数商业化 AI 平台按 Token 计费，中小高校对成本敏感；其二，若面向多个高校（多租户）提供服务，如何让不同高校自由选择、独立配置、单独限流是一项系统性挑战；其三，AI 服务作为对外部网络的关键依赖，其可用性、故障降级、安全合规都需要专门的工程治理；其四，接入不同商用/开源大模型的 SDK 差异较大，缺乏统一的抽象将导致 AI 相关代码难以维护与扩展。</w:t>
      </w:r>
    </w:p>
    <w:bookmarkEnd w:id="20"/>
    <w:bookmarkStart w:id="21" w:name="研究意义"/>
    <w:p>
      <w:pPr>
        <w:pStyle w:val="Heading3"/>
      </w:pPr>
      <w:r>
        <w:t xml:space="preserve">1.2 研究意义</w:t>
      </w:r>
    </w:p>
    <w:p>
      <w:pPr>
        <w:pStyle w:val="FirstParagraph"/>
      </w:pPr>
      <w:r>
        <w:t xml:space="preserve">本文以开源校园学习社群平台 CampusForum 为载体，探索并落地了一套完整的可插拔 AI 集成与治理机制。理论层面，本文提炼出”接口抽象 + 兼容协议 + 委托者缓存 + 多级降级 + 分级限流 + 全链安全治理”六位一体的技术框架，可为其他垂直场景的 AI 集成提供参考；实践层面，本文的开源实现已通过运行验证，可帮助中小高校以极低成本、极低风险地享受 AI 能力，同时保留对模型提供方、模型档位、配额策略、数据合规的完全控制权。</w:t>
      </w:r>
    </w:p>
    <w:bookmarkEnd w:id="21"/>
    <w:bookmarkEnd w:id="22"/>
    <w:bookmarkStart w:id="26" w:name="相关工作"/>
    <w:p>
      <w:pPr>
        <w:pStyle w:val="Heading2"/>
      </w:pPr>
      <w:r>
        <w:t xml:space="preserve">2 相关工作</w:t>
      </w:r>
    </w:p>
    <w:bookmarkStart w:id="23" w:name="内容社区中的-ai-能力集成"/>
    <w:p>
      <w:pPr>
        <w:pStyle w:val="Heading3"/>
      </w:pPr>
      <w:r>
        <w:t xml:space="preserve">2.1 内容社区中的 AI 能力集成</w:t>
      </w:r>
    </w:p>
    <w:p>
      <w:pPr>
        <w:pStyle w:val="FirstParagraph"/>
      </w:pPr>
      <w:r>
        <w:t xml:space="preserve">Stack Overflow、Discord、Reddit、Notion 等国际主流内容社区先后集成 AI 助手、AI 摘要、AI 审核、AI 推荐等能力；Khan Academy、Duolingo 等教育平台推出的 Khanmigo、Duolingo Max 等 AI 学习伴侣产品在个性化学习、智能问答等方面取得良好效果。国内 CSDN、知乎、掘金等已集成 AI 辅助阅读、AI 问答助手；学而思、新东方、网易有道等教育企业推出基于大模型的 AI 学习产品。这类实现大多面向单一模型提供方（如自研或某家云端 API），未考虑”面向多个租户按需切换不同 AI 提供方”这一开源垂直场景的核心诉求。</w:t>
      </w:r>
    </w:p>
    <w:bookmarkEnd w:id="23"/>
    <w:bookmarkStart w:id="24" w:name="检索增强生成rag技术"/>
    <w:p>
      <w:pPr>
        <w:pStyle w:val="Heading3"/>
      </w:pPr>
      <w:r>
        <w:t xml:space="preserve">2.2 检索增强生成（RAG）技术</w:t>
      </w:r>
    </w:p>
    <w:p>
      <w:pPr>
        <w:pStyle w:val="FirstParagraph"/>
      </w:pPr>
      <w:r>
        <w:t xml:space="preserve">RAG 通过引入外部知识源显著提升大模型的知识覆盖率、事实准确性与时效性[4]。同济大学团队提出的模块化 RAG 将系统解耦为独立算子；北邮与港大联合团队提出的 LightRAG 采用双层检索机制；微软 GraphRAG 利用知识图谱改进复杂推理[5]。上述研究多聚焦于 RAG 本身的算法改进，对”如何在多租户开源社区中稳定运行 RAG 服务”这一工程问题的讨论较为有限。</w:t>
      </w:r>
    </w:p>
    <w:bookmarkEnd w:id="24"/>
    <w:bookmarkStart w:id="25" w:name="ai-服务的工程治理"/>
    <w:p>
      <w:pPr>
        <w:pStyle w:val="Heading3"/>
      </w:pPr>
      <w:r>
        <w:t xml:space="preserve">2.3 AI 服务的工程治理</w:t>
      </w:r>
    </w:p>
    <w:p>
      <w:pPr>
        <w:pStyle w:val="FirstParagraph"/>
      </w:pPr>
      <w:r>
        <w:t xml:space="preserve">AI 服务对外部网络的强依赖使其成为服务器端安全设计的高危面：一方面，用户可控的 API Base URL 可能被恶意构造以访问内网或云元数据（Server-Side Request Forgery, SSRF）；另一方面，高频调用可能产生显著的 Token 成本或触发上游限流。已有研究讨论了 SSRF 防御的通用方法与 API 限流的常见算法，但针对</w:t>
      </w:r>
      <w:r>
        <w:rPr>
          <w:bCs/>
          <w:b/>
        </w:rPr>
        <w:t xml:space="preserve">大模型 API 调用</w:t>
      </w:r>
      <w:r>
        <w:t xml:space="preserve">的组合式治理方案仍相对稀少。本文的贡献之一正是在这一交叉领域给出可复用的工程实现。</w:t>
      </w:r>
    </w:p>
    <w:bookmarkEnd w:id="25"/>
    <w:bookmarkEnd w:id="26"/>
    <w:bookmarkStart w:id="34" w:name="可插拔-ai-集成设计"/>
    <w:p>
      <w:pPr>
        <w:pStyle w:val="Heading2"/>
      </w:pPr>
      <w:r>
        <w:t xml:space="preserve">3 可插拔 AI 集成设计</w:t>
      </w:r>
    </w:p>
    <w:bookmarkStart w:id="30" w:name="总体架构"/>
    <w:p>
      <w:pPr>
        <w:pStyle w:val="Heading3"/>
      </w:pPr>
      <w:r>
        <w:t xml:space="preserve">3.1 总体架构</w:t>
      </w:r>
    </w:p>
    <w:p>
      <w:pPr>
        <w:pStyle w:val="FirstParagraph"/>
      </w:pPr>
      <w:r>
        <w:t xml:space="preserve">CampusForum 的 AI 能力集成分为四层，如图 1 所示：</w:t>
      </w:r>
    </w:p>
    <w:p>
      <w:pPr>
        <w:pStyle w:val="BodyText"/>
      </w:pPr>
      <w:r>
        <w:drawing>
          <wp:inline>
            <wp:extent cx="5334000" cy="2889250"/>
            <wp:effectExtent b="0" l="0" r="0" t="0"/>
            <wp:docPr descr="" title="" id="28" name="Picture"/>
            <a:graphic>
              <a:graphicData uri="http://schemas.openxmlformats.org/drawingml/2006/picture">
                <pic:pic>
                  <pic:nvPicPr>
                    <pic:cNvPr descr="assets/fig-AI集成架构.png" id="29" name="Picture"/>
                    <pic:cNvPicPr>
                      <a:picLocks noChangeArrowheads="1" noChangeAspect="1"/>
                    </pic:cNvPicPr>
                  </pic:nvPicPr>
                  <pic:blipFill>
                    <a:blip r:embed="rId27"/>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rPr>
          <w:bCs/>
          <w:b/>
        </w:rPr>
        <w:t xml:space="preserve">图 1 可插拔 AI 集成总体架构</w:t>
      </w:r>
    </w:p>
    <w:bookmarkEnd w:id="30"/>
    <w:bookmarkStart w:id="31" w:name="抽象接口设计"/>
    <w:p>
      <w:pPr>
        <w:pStyle w:val="Heading3"/>
      </w:pPr>
      <w:r>
        <w:t xml:space="preserve">3.2 抽象接口设计</w:t>
      </w:r>
    </w:p>
    <w:p>
      <w:pPr>
        <w:pStyle w:val="FirstParagraph"/>
      </w:pPr>
      <w:r>
        <w:rPr>
          <w:rStyle w:val="VerbatimChar"/>
        </w:rPr>
        <w:t xml:space="preserve">AiService</w:t>
      </w:r>
      <w:r>
        <w:t xml:space="preserve"> </w:t>
      </w:r>
      <w:r>
        <w:t xml:space="preserve">接口暴露了校园社区场景所需的 6 类核心 AI 能力：</w:t>
      </w:r>
    </w:p>
    <w:p>
      <w:pPr>
        <w:numPr>
          <w:ilvl w:val="0"/>
          <w:numId w:val="1001"/>
        </w:numPr>
        <w:pStyle w:val="Compact"/>
      </w:pPr>
      <w:r>
        <w:rPr>
          <w:rStyle w:val="VerbatimChar"/>
        </w:rPr>
        <w:t xml:space="preserve">summarize(content)</w:t>
      </w:r>
      <w:r>
        <w:t xml:space="preserve">：长帖话题摘要；</w:t>
      </w:r>
    </w:p>
    <w:p>
      <w:pPr>
        <w:numPr>
          <w:ilvl w:val="0"/>
          <w:numId w:val="1001"/>
        </w:numPr>
        <w:pStyle w:val="Compact"/>
      </w:pPr>
      <w:r>
        <w:rPr>
          <w:rStyle w:val="VerbatimChar"/>
        </w:rPr>
        <w:t xml:space="preserve">moderate(content)</w:t>
      </w:r>
      <w:r>
        <w:t xml:space="preserve">：违规内容分级审核；</w:t>
      </w:r>
    </w:p>
    <w:p>
      <w:pPr>
        <w:numPr>
          <w:ilvl w:val="0"/>
          <w:numId w:val="1001"/>
        </w:numPr>
        <w:pStyle w:val="Compact"/>
      </w:pPr>
      <w:r>
        <w:rPr>
          <w:rStyle w:val="VerbatimChar"/>
        </w:rPr>
        <w:t xml:space="preserve">recommendTags(title, content)</w:t>
      </w:r>
      <w:r>
        <w:t xml:space="preserve">：发帖时的自动标签推荐；</w:t>
      </w:r>
    </w:p>
    <w:p>
      <w:pPr>
        <w:numPr>
          <w:ilvl w:val="0"/>
          <w:numId w:val="1001"/>
        </w:numPr>
        <w:pStyle w:val="Compact"/>
      </w:pPr>
      <w:r>
        <w:rPr>
          <w:rStyle w:val="VerbatimChar"/>
        </w:rPr>
        <w:t xml:space="preserve">chat(messages, context)</w:t>
      </w:r>
      <w:r>
        <w:t xml:space="preserve"> </w:t>
      </w:r>
      <w:r>
        <w:t xml:space="preserve">与</w:t>
      </w:r>
      <w:r>
        <w:t xml:space="preserve"> </w:t>
      </w:r>
      <w:r>
        <w:rPr>
          <w:rStyle w:val="VerbatimChar"/>
        </w:rPr>
        <w:t xml:space="preserve">chat(messages, context, model)</w:t>
      </w:r>
      <w:r>
        <w:t xml:space="preserve">：自由问答（后者支持指定模型）；</w:t>
      </w:r>
    </w:p>
    <w:p>
      <w:pPr>
        <w:numPr>
          <w:ilvl w:val="0"/>
          <w:numId w:val="1001"/>
        </w:numPr>
        <w:pStyle w:val="Compact"/>
      </w:pPr>
      <w:r>
        <w:rPr>
          <w:rStyle w:val="VerbatimChar"/>
        </w:rPr>
        <w:t xml:space="preserve">generatePostCard(title, content, postType, tags, recentComments)</w:t>
      </w:r>
      <w:r>
        <w:t xml:space="preserve">：结构化帖子智能卡片；</w:t>
      </w:r>
    </w:p>
    <w:p>
      <w:pPr>
        <w:numPr>
          <w:ilvl w:val="0"/>
          <w:numId w:val="1001"/>
        </w:numPr>
        <w:pStyle w:val="Compact"/>
      </w:pPr>
      <w:r>
        <w:rPr>
          <w:rStyle w:val="VerbatimChar"/>
        </w:rPr>
        <w:t xml:space="preserve">checkRelevance(theme, content)</w:t>
      </w:r>
      <w:r>
        <w:t xml:space="preserve">：打卡内容与挑战主题的相关性判断。</w:t>
      </w:r>
    </w:p>
    <w:p>
      <w:pPr>
        <w:pStyle w:val="FirstParagraph"/>
      </w:pPr>
      <w:r>
        <w:t xml:space="preserve">所有方法均返回结构化数据（如</w:t>
      </w:r>
      <w:r>
        <w:t xml:space="preserve"> </w:t>
      </w:r>
      <w:r>
        <w:rPr>
          <w:rStyle w:val="VerbatimChar"/>
        </w:rPr>
        <w:t xml:space="preserve">RiskResult{level, reason}</w:t>
      </w:r>
      <w:r>
        <w:t xml:space="preserve">、</w:t>
      </w:r>
      <w:r>
        <w:rPr>
          <w:rStyle w:val="VerbatimChar"/>
        </w:rPr>
        <w:t xml:space="preserve">PostCardResult{tldr, audience, valueType, readMinutes, commentConsensus, ...}</w:t>
      </w:r>
      <w:r>
        <w:t xml:space="preserve">），既方便前端渲染，也天然支持向下兼容——不同实现类若不支持某能力可通过默认方法返回中性值（如</w:t>
      </w:r>
      <w:r>
        <w:t xml:space="preserve"> </w:t>
      </w:r>
      <w:r>
        <w:rPr>
          <w:rStyle w:val="VerbatimChar"/>
        </w:rPr>
        <w:t xml:space="preserve">checkRelevance</w:t>
      </w:r>
      <w:r>
        <w:t xml:space="preserve"> </w:t>
      </w:r>
      <w:r>
        <w:t xml:space="preserve">默认返回</w:t>
      </w:r>
      <w:r>
        <w:t xml:space="preserve"> </w:t>
      </w:r>
      <w:r>
        <w:rPr>
          <w:rStyle w:val="VerbatimChar"/>
        </w:rPr>
        <w:t xml:space="preserve">true</w:t>
      </w:r>
      <w:r>
        <w:t xml:space="preserve">），不影响调用方。</w:t>
      </w:r>
    </w:p>
    <w:bookmarkEnd w:id="31"/>
    <w:bookmarkStart w:id="32" w:name="兼容协议与提供方切换"/>
    <w:p>
      <w:pPr>
        <w:pStyle w:val="Heading3"/>
      </w:pPr>
      <w:r>
        <w:t xml:space="preserve">3.3 兼容协议与提供方切换</w:t>
      </w:r>
    </w:p>
    <w:p>
      <w:pPr>
        <w:pStyle w:val="FirstParagraph"/>
      </w:pPr>
      <w:r>
        <w:t xml:space="preserve">平台以</w:t>
      </w:r>
      <w:r>
        <w:rPr>
          <w:bCs/>
          <w:b/>
        </w:rPr>
        <w:t xml:space="preserve">OpenAI Chat Completions 兼容协议</w:t>
      </w:r>
      <w:r>
        <w:t xml:space="preserve">作为与 LLM 提供方通信的统一基线。这一选择基于两点考量：其一，OpenAI 协议是目前 LLM 生态事实上的通信标准，DeepSeek、通义千问、Kimi、智谱 GLM、本地 Ollama、vLLM、Xinference 等主流商业与开源模型均提供 OpenAI 兼容接口；其二，采用同一协议后，切换提供方本质上只需修改</w:t>
      </w:r>
      <w:r>
        <w:t xml:space="preserve"> </w:t>
      </w:r>
      <w:r>
        <w:rPr>
          <w:rStyle w:val="VerbatimChar"/>
        </w:rPr>
        <w:t xml:space="preserve">baseUrl</w:t>
      </w:r>
      <w:r>
        <w:t xml:space="preserve">、</w:t>
      </w:r>
      <w:r>
        <w:rPr>
          <w:rStyle w:val="VerbatimChar"/>
        </w:rPr>
        <w:t xml:space="preserve">apiKey</w:t>
      </w:r>
      <w:r>
        <w:t xml:space="preserve">、</w:t>
      </w:r>
      <w:r>
        <w:rPr>
          <w:rStyle w:val="VerbatimChar"/>
        </w:rPr>
        <w:t xml:space="preserve">model</w:t>
      </w:r>
      <w:r>
        <w:t xml:space="preserve"> </w:t>
      </w:r>
      <w:r>
        <w:t xml:space="preserve">三项配置，无需引入新的 SDK 与序列化逻辑。</w:t>
      </w:r>
      <w:r>
        <w:rPr>
          <w:rStyle w:val="VerbatimChar"/>
        </w:rPr>
        <w:t xml:space="preserve">OpenAiCompatService</w:t>
      </w:r>
      <w:r>
        <w:t xml:space="preserve"> </w:t>
      </w:r>
      <w:r>
        <w:t xml:space="preserve">在启动时对</w:t>
      </w:r>
      <w:r>
        <w:t xml:space="preserve"> </w:t>
      </w:r>
      <w:r>
        <w:rPr>
          <w:rStyle w:val="VerbatimChar"/>
        </w:rPr>
        <w:t xml:space="preserve">baseUrl</w:t>
      </w:r>
      <w:r>
        <w:t xml:space="preserve"> </w:t>
      </w:r>
      <w:r>
        <w:t xml:space="preserve">自动规范化到</w:t>
      </w:r>
      <w:r>
        <w:t xml:space="preserve"> </w:t>
      </w:r>
      <w:r>
        <w:rPr>
          <w:rStyle w:val="VerbatimChar"/>
        </w:rPr>
        <w:t xml:space="preserve">/v1</w:t>
      </w:r>
      <w:r>
        <w:t xml:space="preserve"> </w:t>
      </w:r>
      <w:r>
        <w:t xml:space="preserve">结尾，并复用底层</w:t>
      </w:r>
      <w:r>
        <w:t xml:space="preserve"> </w:t>
      </w:r>
      <w:r>
        <w:rPr>
          <w:rStyle w:val="VerbatimChar"/>
        </w:rPr>
        <w:t xml:space="preserve">SafeHttpClient</w:t>
      </w:r>
      <w:r>
        <w:t xml:space="preserve">（HTTP 层带 SSRF 防护的</w:t>
      </w:r>
      <w:r>
        <w:t xml:space="preserve"> </w:t>
      </w:r>
      <w:r>
        <w:rPr>
          <w:rStyle w:val="VerbatimChar"/>
        </w:rPr>
        <w:t xml:space="preserve">RestTemplate</w:t>
      </w:r>
      <w:r>
        <w:t xml:space="preserve">）承担实际的网络调用。</w:t>
      </w:r>
    </w:p>
    <w:bookmarkEnd w:id="32"/>
    <w:bookmarkStart w:id="33" w:name="租户感知与客户端缓存"/>
    <w:p>
      <w:pPr>
        <w:pStyle w:val="Heading3"/>
      </w:pPr>
      <w:r>
        <w:t xml:space="preserve">3.4 租户感知与客户端缓存</w:t>
      </w:r>
    </w:p>
    <w:p>
      <w:pPr>
        <w:pStyle w:val="FirstParagraph"/>
      </w:pPr>
      <w:r>
        <w:rPr>
          <w:rStyle w:val="VerbatimChar"/>
        </w:rPr>
        <w:t xml:space="preserve">TenantAwareAiService</w:t>
      </w:r>
      <w:r>
        <w:t xml:space="preserve"> </w:t>
      </w:r>
      <w:r>
        <w:t xml:space="preserve">以</w:t>
      </w:r>
      <w:r>
        <w:t xml:space="preserve"> </w:t>
      </w:r>
      <w:r>
        <w:rPr>
          <w:rStyle w:val="VerbatimChar"/>
        </w:rPr>
        <w:t xml:space="preserve">@Primary</w:t>
      </w:r>
      <w:r>
        <w:t xml:space="preserve"> </w:t>
      </w:r>
      <w:r>
        <w:t xml:space="preserve">注入到 Spring 容器，承担全部 AI 调用的入口委托。它按当前</w:t>
      </w:r>
      <w:r>
        <w:t xml:space="preserve"> </w:t>
      </w:r>
      <w:r>
        <w:rPr>
          <w:rStyle w:val="VerbatimChar"/>
        </w:rPr>
        <w:t xml:space="preserve">TenantContext.getTenantId()</w:t>
      </w:r>
      <w:r>
        <w:t xml:space="preserve"> </w:t>
      </w:r>
      <w:r>
        <w:t xml:space="preserve">加载该租户存储在数据库中的</w:t>
      </w:r>
      <w:r>
        <w:t xml:space="preserve"> </w:t>
      </w:r>
      <w:r>
        <w:rPr>
          <w:rStyle w:val="VerbatimChar"/>
        </w:rPr>
        <w:t xml:space="preserve">ai_config</w:t>
      </w:r>
      <w:r>
        <w:t xml:space="preserve"> </w:t>
      </w:r>
      <w:r>
        <w:t xml:space="preserve">字段（AES-GCM 加密），解密后取出</w:t>
      </w:r>
      <w:r>
        <w:t xml:space="preserve"> </w:t>
      </w:r>
      <w:r>
        <w:rPr>
          <w:rStyle w:val="VerbatimChar"/>
        </w:rPr>
        <w:t xml:space="preserve">provider/baseUrl/apiKey/model</w:t>
      </w:r>
      <w:r>
        <w:t xml:space="preserve"> </w:t>
      </w:r>
      <w:r>
        <w:t xml:space="preserve">四项配置，动态实例化</w:t>
      </w:r>
      <w:r>
        <w:t xml:space="preserve"> </w:t>
      </w:r>
      <w:r>
        <w:rPr>
          <w:rStyle w:val="VerbatimChar"/>
        </w:rPr>
        <w:t xml:space="preserve">OpenAiCompatService</w:t>
      </w:r>
      <w:r>
        <w:t xml:space="preserve"> </w:t>
      </w:r>
      <w:r>
        <w:t xml:space="preserve">客户端并按租户维度缓存于</w:t>
      </w:r>
      <w:r>
        <w:t xml:space="preserve"> </w:t>
      </w:r>
      <w:r>
        <w:rPr>
          <w:rStyle w:val="VerbatimChar"/>
        </w:rPr>
        <w:t xml:space="preserve">ConcurrentHashMap</w:t>
      </w:r>
      <w:r>
        <w:t xml:space="preserve">。缓存项使用</w:t>
      </w:r>
      <w:r>
        <w:rPr>
          <w:bCs/>
          <w:b/>
        </w:rPr>
        <w:t xml:space="preserve">配置指纹</w:t>
      </w:r>
      <w:r>
        <w:t xml:space="preserve">作为版本标识：</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buildFingerprint</w:t>
      </w:r>
      <w:r>
        <w:rPr>
          <w:rStyle w:val="OperatorTok"/>
        </w:rPr>
        <w:t xml:space="preserve">(</w:t>
      </w:r>
      <w:r>
        <w:rPr>
          <w:rStyle w:val="BuiltInTok"/>
        </w:rPr>
        <w:t xml:space="preserve">String</w:t>
      </w:r>
      <w:r>
        <w:rPr>
          <w:rStyle w:val="NormalTok"/>
        </w:rPr>
        <w:t xml:space="preserve"> baseUrl</w:t>
      </w:r>
      <w:r>
        <w:rPr>
          <w:rStyle w:val="OperatorTok"/>
        </w:rPr>
        <w:t xml:space="preserve">,</w:t>
      </w:r>
      <w:r>
        <w:rPr>
          <w:rStyle w:val="NormalTok"/>
        </w:rPr>
        <w:t xml:space="preserve"> </w:t>
      </w:r>
      <w:r>
        <w:rPr>
          <w:rStyle w:val="BuiltInTok"/>
        </w:rPr>
        <w:t xml:space="preserve">String</w:t>
      </w:r>
      <w:r>
        <w:rPr>
          <w:rStyle w:val="NormalTok"/>
        </w:rPr>
        <w:t xml:space="preserve"> apiKey</w:t>
      </w:r>
      <w:r>
        <w:rPr>
          <w:rStyle w:val="OperatorTok"/>
        </w:rPr>
        <w:t xml:space="preserve">,</w:t>
      </w:r>
      <w:r>
        <w:br/>
      </w:r>
      <w:r>
        <w:rPr>
          <w:rStyle w:val="NormalTok"/>
        </w:rPr>
        <w:t xml:space="preserve">                                        </w:t>
      </w:r>
      <w:r>
        <w:rPr>
          <w:rStyle w:val="BuiltInTok"/>
        </w:rPr>
        <w:t xml:space="preserve">String</w:t>
      </w:r>
      <w:r>
        <w:rPr>
          <w:rStyle w:val="NormalTok"/>
        </w:rPr>
        <w:t xml:space="preserve"> 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sha256Hex</w:t>
      </w:r>
      <w:r>
        <w:rPr>
          <w:rStyle w:val="OperatorTok"/>
        </w:rPr>
        <w:t xml:space="preserve">(</w:t>
      </w:r>
      <w:r>
        <w:rPr>
          <w:rStyle w:val="NormalTok"/>
        </w:rPr>
        <w:t xml:space="preserve">apiKey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br/>
      </w:r>
      <w:r>
        <w:rPr>
          <w:rStyle w:val="OperatorTok"/>
        </w:rPr>
        <w:t xml:space="preserve">}</w:t>
      </w:r>
    </w:p>
    <w:p>
      <w:pPr>
        <w:pStyle w:val="FirstParagraph"/>
      </w:pPr>
      <w:r>
        <w:t xml:space="preserve">对</w:t>
      </w:r>
      <w:r>
        <w:t xml:space="preserve"> </w:t>
      </w:r>
      <w:r>
        <w:rPr>
          <w:rStyle w:val="VerbatimChar"/>
        </w:rPr>
        <w:t xml:space="preserve">apiKey</w:t>
      </w:r>
      <w:r>
        <w:t xml:space="preserve"> </w:t>
      </w:r>
      <w:r>
        <w:t xml:space="preserve">使用 SHA-256 摘要而非明文的动机有二：一是缩小明文密钥在进程内存中的可读触面；二是仍保证不同</w:t>
      </w:r>
      <w:r>
        <w:t xml:space="preserve"> </w:t>
      </w:r>
      <w:r>
        <w:rPr>
          <w:rStyle w:val="VerbatimChar"/>
        </w:rPr>
        <w:t xml:space="preserve">apiKey</w:t>
      </w:r>
      <w:r>
        <w:t xml:space="preserve"> </w:t>
      </w:r>
      <w:r>
        <w:t xml:space="preserve">会产生不同指纹以触发缓存重建。</w:t>
      </w:r>
      <w:r>
        <w:rPr>
          <w:rStyle w:val="VerbatimChar"/>
        </w:rPr>
        <w:t xml:space="preserve">ConcurrentHashMap.compute(...)</w:t>
      </w:r>
      <w:r>
        <w:t xml:space="preserve"> </w:t>
      </w:r>
      <w:r>
        <w:t xml:space="preserve">提供</w:t>
      </w:r>
      <w:r>
        <w:t xml:space="preserve"> </w:t>
      </w:r>
      <w:r>
        <w:rPr>
          <w:rStyle w:val="VerbatimChar"/>
        </w:rPr>
        <w:t xml:space="preserve">tenantId</w:t>
      </w:r>
      <w:r>
        <w:t xml:space="preserve"> </w:t>
      </w:r>
      <w:r>
        <w:t xml:space="preserve">维度的串行化保护，避免”指纹变化的瞬间被多个线程同时重建客户端”造成短暂双实例。</w:t>
      </w:r>
    </w:p>
    <w:bookmarkEnd w:id="33"/>
    <w:bookmarkEnd w:id="34"/>
    <w:bookmarkStart w:id="40" w:name="关键治理机制"/>
    <w:p>
      <w:pPr>
        <w:pStyle w:val="Heading2"/>
      </w:pPr>
      <w:r>
        <w:t xml:space="preserve">4 关键治理机制</w:t>
      </w:r>
    </w:p>
    <w:bookmarkStart w:id="35" w:name="五级降级链"/>
    <w:p>
      <w:pPr>
        <w:pStyle w:val="Heading3"/>
      </w:pPr>
      <w:r>
        <w:t xml:space="preserve">4.1 五级降级链</w:t>
      </w:r>
    </w:p>
    <w:p>
      <w:pPr>
        <w:pStyle w:val="FirstParagraph"/>
      </w:pPr>
      <w:r>
        <w:t xml:space="preserve">AI 能力若在故障时直接抛错，会导致校园平台的 AI 助手、AI 摘要卡片、AI 内容审核等一系列功能同时不可用，用户体验显著下降。为此，</w:t>
      </w:r>
      <w:r>
        <w:rPr>
          <w:rStyle w:val="VerbatimChar"/>
        </w:rPr>
        <w:t xml:space="preserve">TenantAwareAiService.delegate()</w:t>
      </w:r>
      <w:r>
        <w:t xml:space="preserve"> </w:t>
      </w:r>
      <w:r>
        <w:t xml:space="preserve">实现了</w:t>
      </w:r>
      <w:r>
        <w:rPr>
          <w:bCs/>
          <w:b/>
        </w:rPr>
        <w:t xml:space="preserve">五级降级链</w:t>
      </w:r>
      <w:r>
        <w:t xml:space="preserve">，如表 1 所示。</w:t>
      </w:r>
    </w:p>
    <w:p>
      <w:pPr>
        <w:pStyle w:val="BodyText"/>
      </w:pPr>
      <w:r>
        <w:rPr>
          <w:bCs/>
          <w:b/>
        </w:rPr>
        <w:t xml:space="preserve">表 1 AI 调用五级降级策略</w:t>
      </w:r>
    </w:p>
    <w:tbl>
      <w:tblPr>
        <w:tblStyle w:val="Table"/>
        <w:tblW w:type="pct" w:w="5000"/>
        <w:tblLook w:firstRow="1" w:lastRow="0" w:firstColumn="0" w:lastColumn="0" w:noHBand="0" w:noVBand="0" w:val="0020"/>
        <w:jc w:val="start"/>
      </w:tblPr>
      <w:tblGrid>
        <w:gridCol w:w="2436"/>
        <w:gridCol w:w="1827"/>
        <w:gridCol w:w="1827"/>
        <w:gridCol w:w="1827"/>
      </w:tblGrid>
      <w:tr>
        <w:trPr>
          <w:tblHeader w:val="true"/>
        </w:trPr>
        <w:tc>
          <w:tcPr/>
          <w:p>
            <w:pPr>
              <w:pStyle w:val="Compact"/>
              <w:jc w:val="center"/>
            </w:pPr>
            <w:r>
              <w:t xml:space="preserve">级别</w:t>
            </w:r>
          </w:p>
        </w:tc>
        <w:tc>
          <w:tcPr/>
          <w:p>
            <w:pPr>
              <w:pStyle w:val="Compact"/>
              <w:jc w:val="left"/>
            </w:pPr>
            <w:r>
              <w:t xml:space="preserve">触发条件</w:t>
            </w:r>
          </w:p>
        </w:tc>
        <w:tc>
          <w:tcPr/>
          <w:p>
            <w:pPr>
              <w:pStyle w:val="Compact"/>
              <w:jc w:val="left"/>
            </w:pPr>
            <w:r>
              <w:t xml:space="preserve">处理策略</w:t>
            </w:r>
          </w:p>
        </w:tc>
        <w:tc>
          <w:tcPr/>
          <w:p>
            <w:pPr>
              <w:pStyle w:val="Compact"/>
              <w:jc w:val="left"/>
            </w:pPr>
            <w:r>
              <w:t xml:space="preserve">设计动机</w:t>
            </w:r>
          </w:p>
        </w:tc>
      </w:tr>
      <w:tr>
        <w:tc>
          <w:tcPr/>
          <w:p>
            <w:pPr>
              <w:pStyle w:val="Compact"/>
              <w:jc w:val="center"/>
            </w:pPr>
            <w:r>
              <w:t xml:space="preserve">L0</w:t>
            </w:r>
          </w:p>
        </w:tc>
        <w:tc>
          <w:tcPr/>
          <w:p>
            <w:pPr>
              <w:pStyle w:val="Compact"/>
              <w:jc w:val="left"/>
            </w:pPr>
            <w:r>
              <w:t xml:space="preserve">无</w:t>
            </w:r>
            <w:r>
              <w:t xml:space="preserve"> </w:t>
            </w:r>
            <w:r>
              <w:rPr>
                <w:rStyle w:val="VerbatimChar"/>
              </w:rPr>
              <w:t xml:space="preserve">tenantId</w:t>
            </w:r>
            <w:r>
              <w:t xml:space="preserve"> </w:t>
            </w:r>
            <w:r>
              <w:t xml:space="preserve">上下文</w:t>
            </w:r>
          </w:p>
        </w:tc>
        <w:tc>
          <w:tcPr/>
          <w:p>
            <w:pPr>
              <w:pStyle w:val="Compact"/>
              <w:jc w:val="left"/>
            </w:pPr>
            <w:r>
              <w:t xml:space="preserve">直接返回</w:t>
            </w:r>
            <w:r>
              <w:t xml:space="preserve"> </w:t>
            </w:r>
            <w:r>
              <w:rPr>
                <w:rStyle w:val="VerbatimChar"/>
              </w:rPr>
              <w:t xml:space="preserve">MockAiService</w:t>
            </w:r>
          </w:p>
        </w:tc>
        <w:tc>
          <w:tcPr/>
          <w:p>
            <w:pPr>
              <w:pStyle w:val="Compact"/>
              <w:jc w:val="left"/>
            </w:pPr>
            <w:r>
              <w:t xml:space="preserve">定时任务/异步线程无租户身份，避免拖垮</w:t>
            </w:r>
          </w:p>
        </w:tc>
      </w:tr>
      <w:tr>
        <w:tc>
          <w:tcPr/>
          <w:p>
            <w:pPr>
              <w:pStyle w:val="Compact"/>
              <w:jc w:val="center"/>
            </w:pPr>
            <w:r>
              <w:t xml:space="preserve">L1</w:t>
            </w:r>
          </w:p>
        </w:tc>
        <w:tc>
          <w:tcPr/>
          <w:p>
            <w:pPr>
              <w:pStyle w:val="Compact"/>
              <w:jc w:val="left"/>
            </w:pPr>
            <w:r>
              <w:rPr>
                <w:rStyle w:val="VerbatimChar"/>
              </w:rPr>
              <w:t xml:space="preserve">apiKey</w:t>
            </w:r>
            <w:r>
              <w:t xml:space="preserve"> </w:t>
            </w:r>
            <w:r>
              <w:t xml:space="preserve">AES-GCM 解密失败</w:t>
            </w:r>
          </w:p>
        </w:tc>
        <w:tc>
          <w:tcPr/>
          <w:p>
            <w:pPr>
              <w:pStyle w:val="Compact"/>
              <w:jc w:val="left"/>
            </w:pPr>
            <w:r>
              <w:t xml:space="preserve">生产环境 fail-loud 抛</w:t>
            </w:r>
            <w:r>
              <w:t xml:space="preserve"> </w:t>
            </w:r>
            <w:r>
              <w:rPr>
                <w:rStyle w:val="VerbatimChar"/>
              </w:rPr>
              <w:t xml:space="preserve">AI_SERVICE_UNAVAILABLE</w:t>
            </w:r>
            <w:r>
              <w:t xml:space="preserve">；开发环境降级到全局 provider/mock</w:t>
            </w:r>
          </w:p>
        </w:tc>
        <w:tc>
          <w:tcPr/>
          <w:p>
            <w:pPr>
              <w:pStyle w:val="Compact"/>
              <w:jc w:val="left"/>
            </w:pPr>
            <w:r>
              <w:t xml:space="preserve">密钥破损意味着后台配置异常，需要租户管理员感知并修复，不宜静默降级</w:t>
            </w:r>
          </w:p>
        </w:tc>
      </w:tr>
      <w:tr>
        <w:tc>
          <w:tcPr/>
          <w:p>
            <w:pPr>
              <w:pStyle w:val="Compact"/>
              <w:jc w:val="center"/>
            </w:pPr>
            <w:r>
              <w:t xml:space="preserve">L2</w:t>
            </w:r>
          </w:p>
        </w:tc>
        <w:tc>
          <w:tcPr/>
          <w:p>
            <w:pPr>
              <w:pStyle w:val="Compact"/>
              <w:jc w:val="left"/>
            </w:pPr>
            <w:r>
              <w:rPr>
                <w:rStyle w:val="VerbatimChar"/>
              </w:rPr>
              <w:t xml:space="preserve">provider != openai</w:t>
            </w:r>
            <w:r>
              <w:t xml:space="preserve"> </w:t>
            </w:r>
            <w:r>
              <w:t xml:space="preserve">或</w:t>
            </w:r>
            <w:r>
              <w:t xml:space="preserve"> </w:t>
            </w:r>
            <w:r>
              <w:rPr>
                <w:rStyle w:val="VerbatimChar"/>
              </w:rPr>
              <w:t xml:space="preserve">apiKey</w:t>
            </w:r>
            <w:r>
              <w:t xml:space="preserve"> </w:t>
            </w:r>
            <w:r>
              <w:t xml:space="preserve">为空</w:t>
            </w:r>
          </w:p>
        </w:tc>
        <w:tc>
          <w:tcPr/>
          <w:p>
            <w:pPr>
              <w:pStyle w:val="Compact"/>
              <w:jc w:val="left"/>
            </w:pPr>
            <w:r>
              <w:t xml:space="preserve">直接返回 mock</w:t>
            </w:r>
          </w:p>
        </w:tc>
        <w:tc>
          <w:tcPr/>
          <w:p>
            <w:pPr>
              <w:pStyle w:val="Compact"/>
              <w:jc w:val="left"/>
            </w:pPr>
            <w:r>
              <w:t xml:space="preserve">提示用户”尚未配置 AI”，属于正常状态</w:t>
            </w:r>
          </w:p>
        </w:tc>
      </w:tr>
      <w:tr>
        <w:tc>
          <w:tcPr/>
          <w:p>
            <w:pPr>
              <w:pStyle w:val="Compact"/>
              <w:jc w:val="center"/>
            </w:pPr>
            <w:r>
              <w:t xml:space="preserve">L3</w:t>
            </w:r>
          </w:p>
        </w:tc>
        <w:tc>
          <w:tcPr/>
          <w:p>
            <w:pPr>
              <w:pStyle w:val="Compact"/>
              <w:jc w:val="left"/>
            </w:pPr>
            <w:r>
              <w:rPr>
                <w:rStyle w:val="VerbatimChar"/>
              </w:rPr>
              <w:t xml:space="preserve">baseUrl</w:t>
            </w:r>
            <w:r>
              <w:t xml:space="preserve"> </w:t>
            </w:r>
            <w:r>
              <w:t xml:space="preserve">命中内网/云元数据（SSRF）</w:t>
            </w:r>
          </w:p>
        </w:tc>
        <w:tc>
          <w:tcPr/>
          <w:p>
            <w:pPr>
              <w:pStyle w:val="Compact"/>
              <w:jc w:val="left"/>
            </w:pPr>
            <w:r>
              <w:t xml:space="preserve">写审计+指标后降级 mock</w:t>
            </w:r>
          </w:p>
        </w:tc>
        <w:tc>
          <w:tcPr/>
          <w:p>
            <w:pPr>
              <w:pStyle w:val="Compact"/>
              <w:jc w:val="left"/>
            </w:pPr>
            <w:r>
              <w:t xml:space="preserve">配置错误由管理员修复，不宜让全部租户业务失败</w:t>
            </w:r>
          </w:p>
        </w:tc>
      </w:tr>
      <w:tr>
        <w:tc>
          <w:tcPr/>
          <w:p>
            <w:pPr>
              <w:pStyle w:val="Compact"/>
              <w:jc w:val="center"/>
            </w:pPr>
            <w:r>
              <w:t xml:space="preserve">L4</w:t>
            </w:r>
          </w:p>
        </w:tc>
        <w:tc>
          <w:tcPr/>
          <w:p>
            <w:pPr>
              <w:pStyle w:val="Compact"/>
              <w:jc w:val="left"/>
            </w:pPr>
            <w:r>
              <w:t xml:space="preserve">上游返回错误响应</w:t>
            </w:r>
          </w:p>
        </w:tc>
        <w:tc>
          <w:tcPr/>
          <w:p>
            <w:pPr>
              <w:pStyle w:val="Compact"/>
              <w:jc w:val="left"/>
            </w:pPr>
            <w:r>
              <w:t xml:space="preserve">兜底本地 mock 回复</w:t>
            </w:r>
          </w:p>
        </w:tc>
        <w:tc>
          <w:tcPr/>
          <w:p>
            <w:pPr>
              <w:pStyle w:val="Compact"/>
              <w:jc w:val="left"/>
            </w:pPr>
            <w:r>
              <w:t xml:space="preserve">上游故障期间维持业务连续</w:t>
            </w:r>
          </w:p>
        </w:tc>
      </w:tr>
    </w:tbl>
    <w:p>
      <w:pPr>
        <w:pStyle w:val="BodyText"/>
      </w:pPr>
      <w:r>
        <w:t xml:space="preserve">L1 采用</w:t>
      </w:r>
      <w:r>
        <w:t xml:space="preserve"> </w:t>
      </w:r>
      <w:r>
        <w:rPr>
          <w:rStyle w:val="VerbatimChar"/>
        </w:rPr>
        <w:t xml:space="preserve">fail-loud</w:t>
      </w:r>
      <w:r>
        <w:t xml:space="preserve">（在生产环境）而非降级，是本方案的一个特殊设计：若默默降级为 mock，租户管理员会看到”AI 工作正常但答非所问”的错觉，无法及时定位到密钥损坏；只有立刻返回明确错误才能触发管理员排查。这一策略与其他四级”降级为 mock”的策略形成了明确对照，体现”故障处理策略需要按故障语义定制”的工程原则。</w:t>
      </w:r>
    </w:p>
    <w:bookmarkEnd w:id="35"/>
    <w:bookmarkStart w:id="36" w:name="model-aware-三级限流"/>
    <w:p>
      <w:pPr>
        <w:pStyle w:val="Heading3"/>
      </w:pPr>
      <w:r>
        <w:t xml:space="preserve">4.2 Model-Aware 三级限流</w:t>
      </w:r>
    </w:p>
    <w:p>
      <w:pPr>
        <w:pStyle w:val="FirstParagraph"/>
      </w:pPr>
      <w:r>
        <w:t xml:space="preserve">考虑到 Pro 档次的大模型（如 DeepSeek V4 Pro、MiMo 2.5 Pro）单次调用的 Token 成本约为普通档次的 3-5 倍，本方案设计了</w:t>
      </w:r>
      <w:r>
        <w:t xml:space="preserve"> </w:t>
      </w:r>
      <w:r>
        <w:rPr>
          <w:bCs/>
          <w:b/>
        </w:rPr>
        <w:t xml:space="preserve">model-aware 的三级限流</w:t>
      </w:r>
      <w:r>
        <w:t xml:space="preserve">，如表 2 所示：</w:t>
      </w:r>
    </w:p>
    <w:p>
      <w:pPr>
        <w:pStyle w:val="BodyText"/>
      </w:pPr>
      <w:r>
        <w:rPr>
          <w:bCs/>
          <w:b/>
        </w:rPr>
        <w:t xml:space="preserve">表 2 三级 AI 调用限流策略</w:t>
      </w:r>
    </w:p>
    <w:tbl>
      <w:tblPr>
        <w:tblStyle w:val="Table"/>
        <w:tblW w:type="pct" w:w="5000"/>
        <w:tblLook w:firstRow="1" w:lastRow="0" w:firstColumn="0" w:lastColumn="0" w:noHBand="0" w:noVBand="0" w:val="0020"/>
        <w:jc w:val="start"/>
      </w:tblPr>
      <w:tblGrid>
        <w:gridCol w:w="1863"/>
        <w:gridCol w:w="1397"/>
        <w:gridCol w:w="1397"/>
        <w:gridCol w:w="1863"/>
        <w:gridCol w:w="1397"/>
      </w:tblGrid>
      <w:tr>
        <w:trPr>
          <w:tblHeader w:val="true"/>
        </w:trPr>
        <w:tc>
          <w:tcPr/>
          <w:p>
            <w:pPr>
              <w:pStyle w:val="Compact"/>
              <w:jc w:val="center"/>
            </w:pPr>
            <w:r>
              <w:t xml:space="preserve">层级</w:t>
            </w:r>
          </w:p>
        </w:tc>
        <w:tc>
          <w:tcPr/>
          <w:p>
            <w:pPr>
              <w:pStyle w:val="Compact"/>
              <w:jc w:val="left"/>
            </w:pPr>
            <w:r>
              <w:t xml:space="preserve">限流粒度</w:t>
            </w:r>
          </w:p>
        </w:tc>
        <w:tc>
          <w:tcPr/>
          <w:p>
            <w:pPr>
              <w:pStyle w:val="Compact"/>
              <w:jc w:val="left"/>
            </w:pPr>
            <w:r>
              <w:t xml:space="preserve">时间窗口</w:t>
            </w:r>
          </w:p>
        </w:tc>
        <w:tc>
          <w:tcPr/>
          <w:p>
            <w:pPr>
              <w:pStyle w:val="Compact"/>
              <w:jc w:val="center"/>
            </w:pPr>
            <w:r>
              <w:t xml:space="preserve">默认阈值</w:t>
            </w:r>
          </w:p>
        </w:tc>
        <w:tc>
          <w:tcPr/>
          <w:p>
            <w:pPr>
              <w:pStyle w:val="Compact"/>
              <w:jc w:val="left"/>
            </w:pPr>
            <w:r>
              <w:t xml:space="preserve">Redis Key</w:t>
            </w:r>
          </w:p>
        </w:tc>
      </w:tr>
      <w:tr>
        <w:tc>
          <w:tcPr/>
          <w:p>
            <w:pPr>
              <w:pStyle w:val="Compact"/>
              <w:jc w:val="center"/>
            </w:pPr>
            <w:r>
              <w:t xml:space="preserve">①</w:t>
            </w:r>
          </w:p>
        </w:tc>
        <w:tc>
          <w:tcPr/>
          <w:p>
            <w:pPr>
              <w:pStyle w:val="Compact"/>
              <w:jc w:val="left"/>
            </w:pPr>
            <w:r>
              <w:t xml:space="preserve">用户 · 分钟</w:t>
            </w:r>
          </w:p>
        </w:tc>
        <w:tc>
          <w:tcPr/>
          <w:p>
            <w:pPr>
              <w:pStyle w:val="Compact"/>
              <w:jc w:val="left"/>
            </w:pPr>
            <w:r>
              <w:t xml:space="preserve">60 s</w:t>
            </w:r>
          </w:p>
        </w:tc>
        <w:tc>
          <w:tcPr/>
          <w:p>
            <w:pPr>
              <w:pStyle w:val="Compact"/>
              <w:jc w:val="center"/>
            </w:pPr>
            <w:r>
              <w:t xml:space="preserve">5 次</w:t>
            </w:r>
          </w:p>
        </w:tc>
        <w:tc>
          <w:tcPr/>
          <w:p>
            <w:pPr>
              <w:pStyle w:val="Compact"/>
              <w:jc w:val="left"/>
            </w:pPr>
            <w:r>
              <w:rPr>
                <w:rStyle w:val="VerbatimChar"/>
              </w:rPr>
              <w:t xml:space="preserve">ai_rate:user:{userId}:min</w:t>
            </w:r>
          </w:p>
        </w:tc>
      </w:tr>
      <w:tr>
        <w:tc>
          <w:tcPr/>
          <w:p>
            <w:pPr>
              <w:pStyle w:val="Compact"/>
              <w:jc w:val="center"/>
            </w:pPr>
            <w:r>
              <w:t xml:space="preserve">②</w:t>
            </w:r>
          </w:p>
        </w:tc>
        <w:tc>
          <w:tcPr/>
          <w:p>
            <w:pPr>
              <w:pStyle w:val="Compact"/>
              <w:jc w:val="left"/>
            </w:pPr>
            <w:r>
              <w:t xml:space="preserve">用户 · 小时 · 模型档位</w:t>
            </w:r>
          </w:p>
        </w:tc>
        <w:tc>
          <w:tcPr/>
          <w:p>
            <w:pPr>
              <w:pStyle w:val="Compact"/>
              <w:jc w:val="left"/>
            </w:pPr>
            <w:r>
              <w:t xml:space="preserve">3600 s</w:t>
            </w:r>
          </w:p>
        </w:tc>
        <w:tc>
          <w:tcPr/>
          <w:p>
            <w:pPr>
              <w:pStyle w:val="Compact"/>
              <w:jc w:val="center"/>
            </w:pPr>
            <w:r>
              <w:t xml:space="preserve">Pro 10 / 普通 20</w:t>
            </w:r>
          </w:p>
        </w:tc>
        <w:tc>
          <w:tcPr/>
          <w:p>
            <w:pPr>
              <w:pStyle w:val="Compact"/>
              <w:jc w:val="left"/>
            </w:pPr>
            <w:r>
              <w:rPr>
                <w:rStyle w:val="VerbatimChar"/>
              </w:rPr>
              <w:t xml:space="preserve">ai_rate:user:{userId}:hour:{pro\|normal}</w:t>
            </w:r>
          </w:p>
        </w:tc>
      </w:tr>
      <w:tr>
        <w:tc>
          <w:tcPr/>
          <w:p>
            <w:pPr>
              <w:pStyle w:val="Compact"/>
              <w:jc w:val="center"/>
            </w:pPr>
            <w:r>
              <w:t xml:space="preserve">③</w:t>
            </w:r>
          </w:p>
        </w:tc>
        <w:tc>
          <w:tcPr/>
          <w:p>
            <w:pPr>
              <w:pStyle w:val="Compact"/>
              <w:jc w:val="left"/>
            </w:pPr>
            <w:r>
              <w:t xml:space="preserve">租户 · 天</w:t>
            </w:r>
          </w:p>
        </w:tc>
        <w:tc>
          <w:tcPr/>
          <w:p>
            <w:pPr>
              <w:pStyle w:val="Compact"/>
              <w:jc w:val="left"/>
            </w:pPr>
            <w:r>
              <w:t xml:space="preserve">86400 s</w:t>
            </w:r>
          </w:p>
        </w:tc>
        <w:tc>
          <w:tcPr/>
          <w:p>
            <w:pPr>
              <w:pStyle w:val="Compact"/>
              <w:jc w:val="center"/>
            </w:pPr>
            <w:r>
              <w:t xml:space="preserve">1000 次</w:t>
            </w:r>
          </w:p>
        </w:tc>
        <w:tc>
          <w:tcPr/>
          <w:p>
            <w:pPr>
              <w:pStyle w:val="Compact"/>
              <w:jc w:val="left"/>
            </w:pPr>
            <w:r>
              <w:rPr>
                <w:rStyle w:val="VerbatimChar"/>
              </w:rPr>
              <w:t xml:space="preserve">ai_rate:tenant:{tenantId}:day</w:t>
            </w:r>
          </w:p>
        </w:tc>
      </w:tr>
    </w:tbl>
    <w:p>
      <w:pPr>
        <w:pStyle w:val="BodyText"/>
      </w:pPr>
      <w:r>
        <w:t xml:space="preserve">限流依赖 Redis 原子递增 + TTL 的滑动窗口机制。第 ② 层的档位分级通过前置</w:t>
      </w:r>
      <w:r>
        <w:t xml:space="preserve"> </w:t>
      </w:r>
      <w:r>
        <w:rPr>
          <w:rStyle w:val="VerbatimChar"/>
        </w:rPr>
        <w:t xml:space="preserve">AiRequestBodyCacheFilter</w:t>
      </w:r>
      <w:r>
        <w:t xml:space="preserve"> </w:t>
      </w:r>
      <w:r>
        <w:t xml:space="preserve">用</w:t>
      </w:r>
      <w:r>
        <w:t xml:space="preserve"> </w:t>
      </w:r>
      <w:r>
        <w:rPr>
          <w:rStyle w:val="VerbatimChar"/>
        </w:rPr>
        <w:t xml:space="preserve">ContentCachingRequestWrapper</w:t>
      </w:r>
      <w:r>
        <w:t xml:space="preserve"> </w:t>
      </w:r>
      <w:r>
        <w:t xml:space="preserve">包装请求体解决——传统 Servlet 请求的</w:t>
      </w:r>
      <w:r>
        <w:t xml:space="preserve"> </w:t>
      </w:r>
      <w:r>
        <w:rPr>
          <w:rStyle w:val="VerbatimChar"/>
        </w:rPr>
        <w:t xml:space="preserve">InputStream</w:t>
      </w:r>
      <w:r>
        <w:t xml:space="preserve"> </w:t>
      </w:r>
      <w:r>
        <w:t xml:space="preserve">只能读一次，一旦 Spring MVC 反序列化过后，拦截器再无法读取</w:t>
      </w:r>
      <w:r>
        <w:t xml:space="preserve"> </w:t>
      </w:r>
      <w:r>
        <w:rPr>
          <w:rStyle w:val="VerbatimChar"/>
        </w:rPr>
        <w:t xml:space="preserve">model</w:t>
      </w:r>
      <w:r>
        <w:t xml:space="preserve"> </w:t>
      </w:r>
      <w:r>
        <w:t xml:space="preserve">字段。该 Filter 缓存请求体到内存，拦截器再从中提取</w:t>
      </w:r>
      <w:r>
        <w:t xml:space="preserve"> </w:t>
      </w:r>
      <w:r>
        <w:rPr>
          <w:rStyle w:val="VerbatimChar"/>
        </w:rPr>
        <w:t xml:space="preserve">model</w:t>
      </w:r>
      <w:r>
        <w:t xml:space="preserve"> </w:t>
      </w:r>
      <w:r>
        <w:t xml:space="preserve">字段判断档位，从而实现真正的 model-aware 限流。若某租户 AI 密钥被盗刷，该三级机制可在分钟/小时/日三个尺度上快速阻断，避免大规模经济损失。</w:t>
      </w:r>
    </w:p>
    <w:bookmarkEnd w:id="36"/>
    <w:bookmarkStart w:id="37" w:name="ssrf-防御与出站安全"/>
    <w:p>
      <w:pPr>
        <w:pStyle w:val="Heading3"/>
      </w:pPr>
      <w:r>
        <w:t xml:space="preserve">4.3 SSRF 防御与出站安全</w:t>
      </w:r>
    </w:p>
    <w:p>
      <w:pPr>
        <w:pStyle w:val="FirstParagraph"/>
      </w:pPr>
      <w:r>
        <w:rPr>
          <w:rStyle w:val="VerbatimChar"/>
        </w:rPr>
        <w:t xml:space="preserve">TenantAwareAiService</w:t>
      </w:r>
      <w:r>
        <w:t xml:space="preserve"> </w:t>
      </w:r>
      <w:r>
        <w:t xml:space="preserve">在每次调用前对</w:t>
      </w:r>
      <w:r>
        <w:t xml:space="preserve"> </w:t>
      </w:r>
      <w:r>
        <w:rPr>
          <w:rStyle w:val="VerbatimChar"/>
        </w:rPr>
        <w:t xml:space="preserve">baseUrl</w:t>
      </w:r>
      <w:r>
        <w:t xml:space="preserve"> </w:t>
      </w:r>
      <w:r>
        <w:t xml:space="preserve">主动执行</w:t>
      </w:r>
      <w:r>
        <w:t xml:space="preserve"> </w:t>
      </w:r>
      <w:r>
        <w:rPr>
          <w:rStyle w:val="VerbatimChar"/>
        </w:rPr>
        <w:t xml:space="preserve">PrivateNetworkValidator.requirePublic(baseUrl, true)</w:t>
      </w:r>
      <w:r>
        <w:t xml:space="preserve">，命中以下任一情况即视为 SSRF 风险并降级 mock：① IPv4 私网</w:t>
      </w:r>
      <w:r>
        <w:t xml:space="preserve"> </w:t>
      </w:r>
      <w:r>
        <w:rPr>
          <w:rStyle w:val="VerbatimChar"/>
        </w:rPr>
        <w:t xml:space="preserve">10.0.0.0/8</w:t>
      </w:r>
      <w:r>
        <w:t xml:space="preserve">、</w:t>
      </w:r>
      <w:r>
        <w:rPr>
          <w:rStyle w:val="VerbatimChar"/>
        </w:rPr>
        <w:t xml:space="preserve">172.16.0.0/12</w:t>
      </w:r>
      <w:r>
        <w:t xml:space="preserve">、</w:t>
      </w:r>
      <w:r>
        <w:rPr>
          <w:rStyle w:val="VerbatimChar"/>
        </w:rPr>
        <w:t xml:space="preserve">192.168.0.0/16</w:t>
      </w:r>
      <w:r>
        <w:t xml:space="preserve">；② 环回地址</w:t>
      </w:r>
      <w:r>
        <w:t xml:space="preserve"> </w:t>
      </w:r>
      <w:r>
        <w:rPr>
          <w:rStyle w:val="VerbatimChar"/>
        </w:rPr>
        <w:t xml:space="preserve">127.0.0.0/8</w:t>
      </w:r>
      <w:r>
        <w:t xml:space="preserve">；③ 链路本地</w:t>
      </w:r>
      <w:r>
        <w:t xml:space="preserve"> </w:t>
      </w:r>
      <w:r>
        <w:rPr>
          <w:rStyle w:val="VerbatimChar"/>
        </w:rPr>
        <w:t xml:space="preserve">169.254.0.0/16</w:t>
      </w:r>
      <w:r>
        <w:t xml:space="preserve">（含云元数据</w:t>
      </w:r>
      <w:r>
        <w:t xml:space="preserve"> </w:t>
      </w:r>
      <w:r>
        <w:rPr>
          <w:rStyle w:val="VerbatimChar"/>
        </w:rPr>
        <w:t xml:space="preserve">169.254.169.254</w:t>
      </w:r>
      <w:r>
        <w:t xml:space="preserve">）；④ IPv6 链路本地/环回；⑤ DNS 重绑定风险 hostname。此外，本项目实现的</w:t>
      </w:r>
      <w:r>
        <w:t xml:space="preserve"> </w:t>
      </w:r>
      <w:r>
        <w:rPr>
          <w:rStyle w:val="VerbatimChar"/>
        </w:rPr>
        <w:t xml:space="preserve">SafeHttpClient</w:t>
      </w:r>
      <w:r>
        <w:t xml:space="preserve"> </w:t>
      </w:r>
      <w:r>
        <w:t xml:space="preserve">在建立每一次出站 HTTP 连接前均由自定义</w:t>
      </w:r>
      <w:r>
        <w:t xml:space="preserve"> </w:t>
      </w:r>
      <w:r>
        <w:rPr>
          <w:rStyle w:val="VerbatimChar"/>
        </w:rPr>
        <w:t xml:space="preserve">ConnectionSocketFactory</w:t>
      </w:r>
      <w:r>
        <w:t xml:space="preserve"> </w:t>
      </w:r>
      <w:r>
        <w:t xml:space="preserve">二次校验目标 IP，双层防御确保即便配置校验期已通过，也不会因 DNS 重绑定或后端漂移导致 SSRF 逃逸。</w:t>
      </w:r>
    </w:p>
    <w:bookmarkEnd w:id="37"/>
    <w:bookmarkStart w:id="38" w:name="租户级-ai-配置加密"/>
    <w:p>
      <w:pPr>
        <w:pStyle w:val="Heading3"/>
      </w:pPr>
      <w:r>
        <w:t xml:space="preserve">4.4 租户级 AI 配置加密</w:t>
      </w:r>
    </w:p>
    <w:p>
      <w:pPr>
        <w:pStyle w:val="FirstParagraph"/>
      </w:pPr>
      <w:r>
        <w:t xml:space="preserve">不同租户所配置的</w:t>
      </w:r>
      <w:r>
        <w:t xml:space="preserve"> </w:t>
      </w:r>
      <w:r>
        <w:rPr>
          <w:rStyle w:val="VerbatimChar"/>
        </w:rPr>
        <w:t xml:space="preserve">apiKey</w:t>
      </w:r>
      <w:r>
        <w:t xml:space="preserve"> </w:t>
      </w:r>
      <w:r>
        <w:t xml:space="preserve">属于敏感凭据。本方案将</w:t>
      </w:r>
      <w:r>
        <w:t xml:space="preserve"> </w:t>
      </w:r>
      <w:r>
        <w:rPr>
          <w:rStyle w:val="VerbatimChar"/>
        </w:rPr>
        <w:t xml:space="preserve">ai_config</w:t>
      </w:r>
      <w:r>
        <w:t xml:space="preserve"> </w:t>
      </w:r>
      <w:r>
        <w:t xml:space="preserve">字段以 AES-GCM 密文形式存储于</w:t>
      </w:r>
      <w:r>
        <w:t xml:space="preserve"> </w:t>
      </w:r>
      <w:r>
        <w:rPr>
          <w:rStyle w:val="VerbatimChar"/>
        </w:rPr>
        <w:t xml:space="preserve">tenants</w:t>
      </w:r>
      <w:r>
        <w:t xml:space="preserve"> </w:t>
      </w:r>
      <w:r>
        <w:t xml:space="preserve">表，加密主密钥从环境变量</w:t>
      </w:r>
      <w:r>
        <w:t xml:space="preserve"> </w:t>
      </w:r>
      <w:r>
        <w:rPr>
          <w:rStyle w:val="VerbatimChar"/>
        </w:rPr>
        <w:t xml:space="preserve">CRYPTO_MASTER_KEY</w:t>
      </w:r>
      <w:r>
        <w:t xml:space="preserve"> </w:t>
      </w:r>
      <w:r>
        <w:t xml:space="preserve">注入并由</w:t>
      </w:r>
      <w:r>
        <w:t xml:space="preserve"> </w:t>
      </w:r>
      <w:r>
        <w:rPr>
          <w:rStyle w:val="VerbatimChar"/>
        </w:rPr>
        <w:t xml:space="preserve">SecurityStartupValidator</w:t>
      </w:r>
      <w:r>
        <w:t xml:space="preserve"> </w:t>
      </w:r>
      <w:r>
        <w:t xml:space="preserve">校验强度（≥32 字节随机串），生产环境弱密钥或缺失均直接阻止启动。加解密操作由</w:t>
      </w:r>
      <w:r>
        <w:t xml:space="preserve"> </w:t>
      </w:r>
      <w:r>
        <w:rPr>
          <w:rStyle w:val="VerbatimChar"/>
        </w:rPr>
        <w:t xml:space="preserve">CryptoService</w:t>
      </w:r>
      <w:r>
        <w:t xml:space="preserve"> </w:t>
      </w:r>
      <w:r>
        <w:t xml:space="preserve">集中承担，支持 v1（ECB 兼容期）到 v2（GCM）的平滑迁移，遵循预设的</w:t>
      </w:r>
      <w:r>
        <w:t xml:space="preserve"> </w:t>
      </w:r>
      <w:r>
        <w:rPr>
          <w:rStyle w:val="VerbatimChar"/>
        </w:rPr>
        <w:t xml:space="preserve">legacy-cutover-date</w:t>
      </w:r>
      <w:r>
        <w:t xml:space="preserve"> </w:t>
      </w:r>
      <w:r>
        <w:t xml:space="preserve">强制下线过时算法。</w:t>
      </w:r>
    </w:p>
    <w:bookmarkEnd w:id="38"/>
    <w:bookmarkStart w:id="39" w:name="前端模型可视化与配额展示"/>
    <w:p>
      <w:pPr>
        <w:pStyle w:val="Heading3"/>
      </w:pPr>
      <w:r>
        <w:t xml:space="preserve">4.5 前端模型可视化与配额展示</w:t>
      </w:r>
    </w:p>
    <w:p>
      <w:pPr>
        <w:pStyle w:val="FirstParagraph"/>
      </w:pPr>
      <w:r>
        <w:t xml:space="preserve">前端</w:t>
      </w:r>
      <w:r>
        <w:t xml:space="preserve"> </w:t>
      </w:r>
      <w:r>
        <w:rPr>
          <w:rStyle w:val="VerbatimChar"/>
        </w:rPr>
        <w:t xml:space="preserve">frontend/src/types/ai.ts</w:t>
      </w:r>
      <w:r>
        <w:t xml:space="preserve"> </w:t>
      </w:r>
      <w:r>
        <w:t xml:space="preserve">定义了 4 个可选模型的静态列表（含 provider/tier 元数据），用户在 AI 聊天页面通过药丸按钮下拉即可切换；同时前端调用</w:t>
      </w:r>
      <w:r>
        <w:t xml:space="preserve"> </w:t>
      </w:r>
      <w:r>
        <w:rPr>
          <w:rStyle w:val="VerbatimChar"/>
        </w:rPr>
        <w:t xml:space="preserve">GET /api/v1/ai/rate-limit-status</w:t>
      </w:r>
      <w:r>
        <w:t xml:space="preserve"> </w:t>
      </w:r>
      <w:r>
        <w:t xml:space="preserve">接口，实时展示当前用户在 Pro 与普通两档下剩余的调用次数，用户可直观地感知配额消耗，避免”莫名 429”的困惑体验。</w:t>
      </w:r>
    </w:p>
    <w:bookmarkEnd w:id="39"/>
    <w:bookmarkEnd w:id="40"/>
    <w:bookmarkStart w:id="41" w:name="应用效果"/>
    <w:p>
      <w:pPr>
        <w:pStyle w:val="Heading2"/>
      </w:pPr>
      <w:r>
        <w:t xml:space="preserve">5 应用效果</w:t>
      </w:r>
    </w:p>
    <w:p>
      <w:pPr>
        <w:pStyle w:val="FirstParagraph"/>
      </w:pPr>
      <w:r>
        <w:t xml:space="preserve">本机制已在开源校园学习社群平台 CampusForum 中完整落地并部署上线运行。平台以 Docker Compose 部署于 Ubuntu 云服务器，AI 相关接口在生产运行期间未出现租户级 AI 配置泄漏、SSRF 越权、密钥硬编码等安全问题；四种模型（MiMo 2.5、DeepSeek V4 Flash、MiMo 2.5 Pro、DeepSeek V4 Pro）可由用户在前端自由切换，各级限流按预设阈值稳定执行；已运行的 AI 相关业务表覆盖 AI 智能体、AI 插件、AI 知识库、AI 知识库文档、AI 问答对、AI 摄取任务、AI 会话、AI 消息、AI 用户收藏、AI 用户安装插件、AI 学习笔记共 11 张，其中已积累 AI 学习笔记 20 篇、AI 知识库 1 个（含问答对 9 组）、AI 会话 2 次、AI 消息 4 条，架构在真实运行环境中验证有效。</w:t>
      </w:r>
    </w:p>
    <w:bookmarkEnd w:id="41"/>
    <w:bookmarkStart w:id="42" w:name="总结与展望"/>
    <w:p>
      <w:pPr>
        <w:pStyle w:val="Heading2"/>
      </w:pPr>
      <w:r>
        <w:t xml:space="preserve">6 总结与展望</w:t>
      </w:r>
    </w:p>
    <w:p>
      <w:pPr>
        <w:pStyle w:val="FirstParagraph"/>
      </w:pPr>
      <w:r>
        <w:t xml:space="preserve">本文围绕高校开源社区场景对 AI 能力集成与治理的独特诉求，提出并实现了一套基于 OpenAI 兼容协议的可插拔 AI 集成方案。方案通过</w:t>
      </w:r>
      <w:r>
        <w:t xml:space="preserve"> </w:t>
      </w:r>
      <w:r>
        <w:rPr>
          <w:rStyle w:val="VerbatimChar"/>
        </w:rPr>
        <w:t xml:space="preserve">AiService</w:t>
      </w:r>
      <w:r>
        <w:t xml:space="preserve"> </w:t>
      </w:r>
      <w:r>
        <w:t xml:space="preserve">抽象接口、租户感知的委托者与客户端缓存、五级降级链、model-aware 三级限流、SSRF 防御、AES-GCM 加密配置与启动期安全校验构建了完整的技术闭环，兼顾了可用性、可扩展性、可治理性与安全性。未来工作将进一步：一是引入基于 LangChain4j 的 RAG 流水线优化，提升知识库问答准确率；二是扩展本地开源模型（Ollama、vLLM）的对接与调优，进一步降低中小高校 AI 使用成本；三是探索基于 GraphRAG 的校园知识图谱构建，为 AI 助手提供结构化的校园数据支撑。</w:t>
      </w:r>
    </w:p>
    <w:bookmarkEnd w:id="42"/>
    <w:bookmarkStart w:id="43" w:name="参考文献"/>
    <w:p>
      <w:pPr>
        <w:pStyle w:val="Heading2"/>
      </w:pPr>
      <w:r>
        <w:t xml:space="preserve">参考文献</w:t>
      </w:r>
    </w:p>
    <w:p>
      <w:pPr>
        <w:pStyle w:val="FirstParagraph"/>
      </w:pPr>
      <w:r>
        <w:t xml:space="preserve">[1] 何洁, 陈方远, 关洪权, 等. 面向知识密集型任务的检索增强生成技术综述[J]. 微电子学与计算机, 2025.</w:t>
      </w:r>
    </w:p>
    <w:p>
      <w:pPr>
        <w:pStyle w:val="BodyText"/>
      </w:pPr>
      <w:r>
        <w:t xml:space="preserve">[2] 中华人民共和国教育部. 教育信息化 2.0 行动计划: 教技〔2018〕6 号[Z]. 北京: 中华人民共和国教育部, 2018-04-13.</w:t>
      </w:r>
    </w:p>
    <w:p>
      <w:pPr>
        <w:pStyle w:val="BodyText"/>
      </w:pPr>
      <w:r>
        <w:t xml:space="preserve">[3] 中华人民共和国国务院. 新一代人工智能发展规划: 国发〔2017〕35 号[Z]. 北京: 中华人民共和国国务院, 2017-07-08.</w:t>
      </w:r>
    </w:p>
    <w:p>
      <w:pPr>
        <w:pStyle w:val="BodyText"/>
      </w:pPr>
      <w:r>
        <w:t xml:space="preserve">[4] 李鑫超, 韩璐, 康雁, 等. 检索增强生成在软件工程中的应用综述[J]. 软件学报, 2025.</w:t>
      </w:r>
    </w:p>
    <w:p>
      <w:pPr>
        <w:pStyle w:val="BodyText"/>
      </w:pPr>
      <w:r>
        <w:t xml:space="preserve">[5] Edge D, Trinh H, Cheng N, et al. From Local to Global: A Graph RAG Approach to Query-Focused Summarization[J]. arXiv preprint, 2024, arXiv:2404.16130.</w:t>
      </w:r>
    </w:p>
    <w:p>
      <w:pPr>
        <w:pStyle w:val="BodyText"/>
      </w:pPr>
      <w:r>
        <w:t xml:space="preserve">[6] 孙鑫, 张涛, 李强. 基于 API 网关的大模型服务限流与配额管理研究[J]. 计算机应用与软件, 2024, 41(3): 25-32.</w:t>
      </w:r>
    </w:p>
    <w:p>
      <w:pPr>
        <w:pStyle w:val="BodyText"/>
      </w:pPr>
      <w:r>
        <w:t xml:space="preserve">[7] 王志强, 陈明. SSRF 攻击检测与防御技术综述[J]. 信息网络安全, 2022(6): 45-53.</w:t>
      </w:r>
    </w:p>
    <w:p>
      <w:pPr>
        <w:pStyle w:val="BodyText"/>
      </w:pPr>
      <w:r>
        <w:t xml:space="preserve">[8] OpenAI. OpenAI API Reference: Chat Completions[EB/OL]. (2024-01-15)[2026-06-30]. https://platform.openai.com/docs/api-reference/chat.</w:t>
      </w:r>
    </w:p>
    <w:p>
      <w:pPr>
        <w:pStyle w:val="BodyText"/>
      </w:pPr>
      <w:r>
        <w:t xml:space="preserve">基金项目：2026 年 [待填：国家级/自治区级/校级] 大学生创新训练计划项目资助”基于多租户开源架构与 AI 增强的高校轻量化学习社群平台研究与实现”（项目编号：[待填]）。</w:t>
      </w:r>
    </w:p>
    <w:p>
      <w:pPr>
        <w:pStyle w:val="BodyText"/>
      </w:pPr>
      <w:r>
        <w:t xml:space="preserve">收稿日期：2026-07-04</w:t>
      </w:r>
    </w:p>
    <w:p>
      <w:pPr>
        <w:pStyle w:val="BodyText"/>
      </w:pPr>
      <w:r>
        <w:t xml:space="preserve">作者简介：张官幸（2006—），男，汉族，广西人，桂林电子科技大学计算机工程学院 2024 级本科生在读，研究方向：人工智能应用与工程治理。</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2026-07-04T08:23:49Z</dcterms:created>
  <dcterms:modified xsi:type="dcterms:W3CDTF">2026-07-04T08:23:49Z</dcterms:modified>
</cp:coreProperties>
</file>

<file path=docProps/custom.xml><?xml version="1.0" encoding="utf-8"?>
<Properties xmlns="http://schemas.openxmlformats.org/officeDocument/2006/custom-properties" xmlns:vt="http://schemas.openxmlformats.org/officeDocument/2006/docPropsVTypes"/>
</file>