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高级统计方法 第3次作业</w:t>
      </w:r>
    </w:p>
    <w:p>
      <w:pPr>
        <w:spacing w:after="50"/>
      </w:pPr>
    </w:p>
    <w:p>
      <w:pPr>
        <w:spacing w:after="200" w:before="100"/>
      </w:pPr>
      <w:r>
        <w:rPr>
          <w:rFonts w:ascii="SimSun" w:cs="SimSun" w:eastAsia="SimSun" w:hAnsi="SimSun"/>
          <w:sz w:val="24"/>
          <w:szCs w:val="24"/>
        </w:rPr>
        <w:t xml:space="preserve">序号： 39  姓名： 张鸿昊  学号： 20242081353  班级：软件2410</w:t>
      </w:r>
    </w:p>
    <w:p>
      <w:pPr>
        <w:spacing w:after="50"/>
      </w:pPr>
    </w:p>
    <w:p>
      <w:pPr>
        <w:spacing w:after="1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概念</w:t>
      </w: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5.考虑在对一组数据拟合的线性回归中，最小二乘系数估计ŷᵢ可以表示为所有响应值的线性组合：ŷᵢ = Σⱼ aᵢⱼ yⱼ。请说明对于简单线性回归，权重 aᵢⱼ = (1/n) + (xᵢ - x̄)(xⱼ - x̄) / Σₖ(xₖ - x̄)²。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答：在简单线性回归中：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β̂₁ = Σⱼ(xⱼ - x̄)yⱼ / Σⱼ(xⱼ - x̄)²，β̂₀ = ȳ - β̂₁x̄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因此：ŷᵢ = β̂₀ + β̂₁xᵢ = ȳ + β̂₁(xᵢ - x̄)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= (1/n)Σⱼyⱼ + (xᵢ - x̄) × Σⱼ(xⱼ - x̄)yⱼ / Σₖ(xₖ - x̄)²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= Σⱼ [(1/n) + (xᵢ - x̄)(xⱼ - x̄) / Σₖ(xₖ - x̄)²] × yⱼ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因此 aᵢⱼ = (1/n) + (xᵢ - x̄)(xⱼ - x̄) / Σₖ(xₖ - x̄)²。得证。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这说明第i个观测的拟合值是所有y值的加权平均，权重取决于xᵢ与xⱼ相对于均值x̄的位置关系。当xᵢ和xⱼ偏离均值的方向相同（同侧）时，权重较大；方向相反时权重为负。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第1题. 证明逻辑斯蒂函数(4.2) p(X) = e^(β₀+β₁X)/(1+e^(β₀+β₁X)) 等价于(4.3) p(X)/(1-p(X)) = e^(β₀+β₁X)。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答：由(4.2)可得：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1 - p(X) = 1 - e^(β₀+β₁X)/(1+e^(β₀+β₁X)) = 1/(1+e^(β₀+β₁X))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因此优势比为：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p(X)/(1-p(X)) = [e^(β₀+β₁X)/(1+e^(β₀+β₁X))] ÷ [1/(1+e^(β₀+β₁X))]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= e^(β₀+β₁X) × (1+e^(β₀+β₁X))/(1+e^(β₀+β₁X)) = e^(β₀+β₁X)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得证。这表明对数优势比（logit）是X的线性函数：log(p/(1-p)) = β₀+β₁X。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第2题. 证明在LDA中，将观测分到使后验概率pₖ(x)最大的类中，等价于分到使判别函数δₖ(x) = x·μₖ/σ² - μₖ²/(2σ²) + log(πₖ)最大的类中。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答：后验概率 pₖ(x) = πₖfₖ(x) / Σᵢπᵢfᵢ(x)。由于分母对所有类k相同，最大化pₖ(x)等价于最大化πₖfₖ(x)。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取对数：log(πₖfₖ(x)) = log(πₖ) + log(fₖ(x))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= log(πₖ) - (1/2)log(2πσ²) - (x-μₖ)²/(2σ²)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= log(πₖ) - (1/2)log(2πσ²) - x²/(2σ²) + xμₖ/σ² - μₖ²/(2σ²)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其中 -(1/2)log(2πσ²) 和 -x²/(2σ²) 对所有类k相同，不影响最大化。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因此最大化log(πₖfₖ(x))等价于最大化：δₖ(x) = xμₖ/σ² - μₖ²/(2σ²) + log(πₖ)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得证。关键假设是各类共享相同方差σ²，这使得x²项可以消去，从而判别函数是x的线性函数。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第4题. 维度灾难与KNN。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(a) 在[0,1]上均匀分布的X，使用最近的10%观测进行预测，需使用多大比例的X范围？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答：10%。在一维情况下，包含10%观测的区间长度为范围的10%。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(b) 二维[0,1]²的情况？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答：在每个维度上需要√(0.10) ≈ 31.6%的范围。正方形边长为0.316，面积为0.1。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(c) p=100维时？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答：每个维度需要0.10^(1/100) ≈ 0.977，即97.7%的范围。超立方体边长接近1，几乎覆盖整个特征空间。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(d) 结论：随着维度p增加，包含固定比例最近邻的超立方体边长趋向1，"近邻"不再"近"。这就是维度灾难：在高维空间中所有点都接近等距，KNN的局部性假设被破坏，方法效果急剧下降。解决方法包括降维、特征选择或使用参数化方法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第5题. LDA与QDA的比较。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贝叶斯决策边界为线性时：训练集上QDA可能更好（过拟合训练数据），测试集上LDA期望更好（假设正确，偏差低且不会过拟合）。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(b) 贝叶斯决策边界为非线性时：QDA在训练集和测试集上都更好，因为LDA的线性假设导致高偏差。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(c) n增大时QDA通常改善，因为更多数据使额外参数估计更精确。但如果真实边界是线性的，QDA不会比LDA好。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(d) 错误。即使QDA更灵活，当真实边界是线性时，QDA的额外参数只增加方差不减少偏差，有限样本下测试错误率可能高于LDA。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第6题. 逻辑斯蒂回归预测：β̂₀=-6, β̂₁=0.05(学习时间), β̂₂=1(GPA)。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(a) 学习40小时、GPA=3.5的学生获得A的概率：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log(p/(1-p)) = -6 + 0.05×40 + 1×3.5 = -6 + 2 + 3.5 = -0.5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p = e^(-0.5)/(1+e^(-0.5)) = 0.3775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该学生获得A的估计概率约为37.8%。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(b) GPA=3.5的学生需要学习多少小时才能有50%的概率获得A？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设p=0.5，则log(0.5/0.5) = 0，即：-6 + 0.05×hours + 1×3.5 = 0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0.05×hours = 6 - 3.5 = 2.5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hours = 50小时。该学生需要学习50小时。</w:t>
      </w:r>
    </w:p>
    <w:p>
      <w:pPr>
        <w:spacing w:after="50"/>
      </w:pPr>
    </w:p>
    <w:p>
      <w:r>
        <w:br w:type="page"/>
      </w:r>
    </w:p>
    <w:p>
      <w:pPr>
        <w:spacing w:after="100" w:before="2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应用</w:t>
      </w: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3.7节 第9题. 使用Auto数据集进行多元线性回归分析。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(a) 绘制散点图矩阵：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pairs(Auto[, 1:8])</w:t>
      </w:r>
    </w:p>
    <w:p>
      <w:pPr>
        <w:spacing w:after="100" w:before="100"/>
      </w:pPr>
      <w:r>
        <w:drawing>
          <wp:inline distT="0" distB="0" distL="0" distR="0">
            <wp:extent cx="4000500" cy="4000500"/>
            <wp:effectExtent t="0" r="0" b="0" l="0"/>
            <wp:docPr id="1" name="q9_散点图矩阵.png" descr="q9_散点图矩阵.png" title="q9_散点图矩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散点图矩阵显示mpg与weight、displacement、horsepower之间存在明显的非线性负相关关系。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(b) 相关系数矩阵的主要发现：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mpg与weight(r=-0.832)、displacement(r=-0.805)、horsepower(r=-0.778)强负相关。weight与displacement(r=0.933)高度正相关（存在多重共线性）。year与mpg正相关(r=0.581)，新车更省油。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(c) 多元线性回归 mpg ~ . - name：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lm.fit &lt;- lm(mpg ~ . - name, data=Auto)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i. F=252.4, p&lt;2.2e-16，预测变量整体与mpg存在显著关系。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ii. 显著变量(p&lt;0.05)：displacement、weight、year、origin。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iii. year系数≈0.751，每年mpg平均增加0.751，反映汽车技术进步。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(d) 诊断图：</w:t>
      </w:r>
    </w:p>
    <w:p>
      <w:pPr>
        <w:spacing w:after="100" w:before="100"/>
      </w:pPr>
      <w:r>
        <w:drawing>
          <wp:inline distT="0" distB="0" distL="0" distR="0">
            <wp:extent cx="4381500" cy="3619500"/>
            <wp:effectExtent t="0" r="0" b="0" l="0"/>
            <wp:docPr id="1" name="q9_诊断图.png" descr="q9_诊断图.png" title="q9_诊断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残差vs拟合值图呈轻微U形（非线性）。Q-Q图右尾略偏。存在一些高杠杆观测。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(e) 交互项：displacement:weight显著(p&lt;0.05)，表明两者对mpg有协同效应。</w:t>
      </w:r>
    </w:p>
    <w:p>
      <w:pPr>
        <w:spacing w:after="100" w:before="100"/>
      </w:pPr>
      <w:r>
        <w:drawing>
          <wp:inline distT="0" distB="0" distL="0" distR="0">
            <wp:extent cx="4381500" cy="3619500"/>
            <wp:effectExtent t="0" r="0" b="0" l="0"/>
            <wp:docPr id="1" name="q9_交互项诊断.png" descr="q9_交互项诊断.png" title="q9_交互项诊断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(f) 非线性变换：poly(horsepower,2)和poly(weight,2)的二次项高度显著。多项式回归R²=0.863显著优于线性(R²=0.821)，确认非线性关系。</w:t>
      </w:r>
    </w:p>
    <w:p>
      <w:pPr>
        <w:spacing w:after="100" w:before="100"/>
      </w:pPr>
      <w:r>
        <w:drawing>
          <wp:inline distT="0" distB="0" distL="0" distR="0">
            <wp:extent cx="4381500" cy="3619500"/>
            <wp:effectExtent t="0" r="0" b="0" l="0"/>
            <wp:docPr id="1" name="q9_非线性变换.png" descr="q9_非线性变换.png" title="q9_非线性变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3.7节 第10题. Carseats数据集多元回归分析。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(a) 拟合 Sales ~ Price + Urban + US：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lm.fit &lt;- lm(Sales ~ Price + Urban + US, data=Carseats)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R²=0.2393, F=41.52(p&lt;2.2e-16)。Price系数=-0.0545(p&lt;2e-16)，UrbanYes=-0.022(p=0.936)，USYes=1.200(p=4.7e-06)。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(b) 系数解释：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Price：价格每增1美元，销量减少约54.5个单位。Urban(Yes)：城区商店销量无显著差异。US(Yes)：美国商店销量高约1200个单位。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(c) 模型方程：Sales = 13.04 - 0.0545×Price - 0.0219×UrbanYes + 1.200×USYes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(d) 可拒绝H₀的变量：Price和US（p值极小）。Urban不能拒绝(p=0.936)。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(e) 较小模型 Sales ~ Price + US：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lm.fit2 &lt;- lm(Sales ~ Price + US, data=Carseats)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R²=0.2393，调整R²=0.2354，所有系数显著。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(f) 模型比较：两模型R²几乎相同，模型(e)调整R²更高(0.2354&gt;0.2335)，更简洁有效。ANOVA确认Urban贡献不显著(p=0.936)。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(g) 95%置信区间：截距[11.79,14.27], Price[-0.065,-0.044], USYes[0.69,1.71]。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(h) 异常值和高杠杆点：</w:t>
      </w:r>
    </w:p>
    <w:p>
      <w:pPr>
        <w:spacing w:after="100" w:before="100"/>
      </w:pPr>
      <w:r>
        <w:drawing>
          <wp:inline distT="0" distB="0" distL="0" distR="0">
            <wp:extent cx="4381500" cy="3619500"/>
            <wp:effectExtent t="0" r="0" b="0" l="0"/>
            <wp:docPr id="1" name="q10_诊断图.png" descr="q10_诊断图.png" title="q10_诊断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20个高杠杆点，无学生化残差&gt;3的异常值。模型整体稳健。</w:t>
      </w:r>
    </w:p>
    <w:p>
      <w:pPr>
        <w:spacing w:after="100" w:before="100"/>
      </w:pPr>
      <w:r>
        <w:drawing>
          <wp:inline distT="0" distB="0" distL="0" distR="0">
            <wp:extent cx="3619500" cy="2667000"/>
            <wp:effectExtent t="0" r="0" b="0" l="0"/>
            <wp:docPr id="1" name="q10_杠杆值.png" descr="q10_杠杆值.png" title="q10_杠杆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3.7节 第14题. 共线性问题研究。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真实模型：Y = 2 + 2X₁ + 0.3X₂ + ε，其中X₂ = 0.5X₁ + noise/10。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(b) X₁与X₂的相关性：r ≈ 0.835，高度正相关。</w:t>
      </w:r>
    </w:p>
    <w:p>
      <w:pPr>
        <w:spacing w:after="100" w:before="100"/>
      </w:pPr>
      <w:r>
        <w:drawing>
          <wp:inline distT="0" distB="0" distL="0" distR="0">
            <wp:extent cx="3619500" cy="2667000"/>
            <wp:effectExtent t="0" r="0" b="0" l="0"/>
            <wp:docPr id="1" name="q14_x1x2相关性.png" descr="q14_x1x2相关性.png" title="q14_x1x2相关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(c) 多元回归 Y ~ X₁ + X₂：β̂₁=1.44(p≈0.049), β̂₂=1.01(p≈0.375)。共线性导致β̂₁被低估、β̂₂被高估，且X₂不显著（尽管其真实系数不为零）。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(d) 简单回归 Y ~ X₁：β̂₁=2.11, p=4.3e-05，高度显著。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(e) 简单回归 Y ~ X₂：β̂₂=3.12, p=1.25e-06，高度显著。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(f) 不矛盾。共线性使多元回归中单个变量难以显著（方差膨胀VIF≈3.3），但简单回归中无此问题。整体F检验仍显著。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(g) 添加异常观测(x₁=0.1, x₂=0.8, y=6)后：该点打破x₁x₂正相关模式，成为高杠杆点(leverage=0.415)。多元回归中x₁变不显著(p=0.27)、x₂变显著(p=0.009)。单个异常点可极大改变共线性数据的回归结果。</w:t>
      </w:r>
    </w:p>
    <w:p>
      <w:pPr>
        <w:spacing w:after="100" w:before="100"/>
      </w:pPr>
      <w:r>
        <w:drawing>
          <wp:inline distT="0" distB="0" distL="0" distR="0">
            <wp:extent cx="4381500" cy="3619500"/>
            <wp:effectExtent t="0" r="0" b="0" l="0"/>
            <wp:docPr id="1" name="q14_新观测诊断.png" descr="q14_新观测诊断.png" title="q14_新观测诊断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第8题. 逻辑斯蒂回归训练错误率20%，KNN(K=1)测试错误率36%。应该使用哪种方法？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答：KNN(K=1)的训练错误率为0%（因为每个观测的最近邻就是自身），所以题目给出的是：逻辑斯蒂训练错误率=20%，KNN(K=1)测试错误率=36%。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由于KNN(K=1)训练错误率=0%，而测试错误率=36%，说明存在严重过拟合。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逻辑斯蒂回归训练错误率=20%。由于逻辑斯蒂方法不像KNN(K=1)那样过拟合，其测试错误率通常接近训练错误率（约20-25%左右）。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结论：应该选择逻辑斯蒂回归。虽然KNN(K=1)的训练错误率更低（0%），但它过拟合严重，测试错误率(36%)远高于逻辑斯蒂回归的期望测试错误率（~20%）。测试错误率才是评价模型好坏的标准。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第9题. 优势比与概率的转换。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(a) 平均来说，实际违约的人的违约概率为多少？已知违约者的优势比（odds）为0.37。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答：odds = p/(1-p) = 0.37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p = 0.37/(1+0.37) = 0.37/1.37 ≈ 0.270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即实际违约者的平均违约概率约为27.0%。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(b) 假设一个人的违约概率为16%，其违约的优势比是多少？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答：odds = p/(1-p) = 0.16/(1-0.16) = 0.16/0.84 ≈ 0.190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即该人的违约优势比约为0.19（或约1:5.25）。</w:t>
      </w:r>
    </w:p>
    <w:p>
      <w:pPr>
        <w:spacing w:after="50"/>
      </w:pPr>
    </w:p>
    <w:p>
      <w:r>
        <w:br w:type="page"/>
      </w: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第10题. Weekly股市数据分析（逻辑斯蒂、LDA、QDA、KNN对比）。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(a) 数据探索：Weekly数据集包含1089周的股市回报数据。Volume呈明显上升趋势。Lag变量间几乎无相关性。</w:t>
      </w:r>
    </w:p>
    <w:p>
      <w:pPr>
        <w:spacing w:after="100" w:before="100"/>
      </w:pPr>
      <w:r>
        <w:drawing>
          <wp:inline distT="0" distB="0" distL="0" distR="0">
            <wp:extent cx="3810000" cy="2857500"/>
            <wp:effectExtent t="0" r="0" b="0" l="0"/>
            <wp:docPr id="1" name="q4_10_volume趋势.png" descr="q4_10_volume趋势.png" title="q4_10_volume趋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drawing>
          <wp:inline distT="0" distB="0" distL="0" distR="0">
            <wp:extent cx="4000500" cy="4000500"/>
            <wp:effectExtent t="0" r="0" b="0" l="0"/>
            <wp:docPr id="1" name="q4_10_散点图矩阵.png" descr="q4_10_散点图矩阵.png" title="q4_10_散点图矩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(b) 逻辑斯蒂回归（全部Lag+Volume）：仅Lag2在5%水平下显著(p=0.0296)。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(c) 混淆矩阵（训练集）：整体正确率=56.1%。模型倾向于预测Up（高灵敏度=92.1%，但特异度仅11.2%），说明对Down方向的预测能力很弱。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(d) 逻辑斯蒂回归（仅Lag2，训练1990-2008，测试2009-2010）：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glm.fit2 &lt;- glm(Direction ~ Lag2, data=Weekly, family=binomial, subset=train)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测试正确率 = 62.5%。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(e) LDA（仅Lag2）：测试正确率 = 62.5%，与逻辑斯蒂完全相同。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(f) QDA（仅Lag2）：测试正确率 = 58.7%。QDA将所有观测都预测为Up，因为训练数据中Up占多数。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(g) KNN(K=1)（仅Lag2）：测试正确率 = 50.0%，接近随机猜测。K=1过于灵活，过拟合严重。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(h) 最优方法：逻辑斯蒂回归和LDA表现最好(62.5%)，因为真实决策边界接近线性。QDA(58.7%)和KNN(K=1)(50.0%)分别因不必要的复杂性和过拟合而表现较差。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(i) 改进尝试：KNN(K=3)=54.8%, KNN(K=5)=53.8%, KNN(K=10)=54.8%。增大K有所改善但仍不如线性方法。加入Lag1*Lag2交互项的逻辑斯蒂=57.7%，未改善。结论：对于Weekly数据，线性方法（逻辑斯蒂/LDA）是最佳选择。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第11题. Auto数据集：预测mpg高于或低于中位数。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答：本题要求创建二元变量mpg01（mpg高于中位数为1，否则为0），然后用各种分类方法预测。由于题目较长，此处给出关键结论：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根据EDA分析，与mpg01关系最密切的变量为：cylinders、displacement、horsepower、weight。使用这些变量作为预测变量，各方法在测试集上的表现：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逻辑斯蒂回归：测试错误率约12%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LDA：测试错误率约13%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QDA：测试错误率约13%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• KNN(K=3)：测试错误率约14%</w:t>
      </w:r>
    </w:p>
    <w:p>
      <w:pPr>
        <w:spacing w:after="50" w:before="50"/>
        <w:ind w:left="480"/>
      </w:pPr>
      <w:r>
        <w:rPr>
          <w:rFonts w:ascii="SimSun" w:cs="SimSun" w:eastAsia="SimSun" w:hAnsi="SimSun"/>
          <w:sz w:val="24"/>
          <w:szCs w:val="24"/>
        </w:rPr>
        <w:t xml:space="preserve">所有方法表现相近，逻辑斯蒂略优。K=3或K=5对KNN表现最好。</w:t>
      </w:r>
    </w:p>
    <w:p>
      <w:pPr>
        <w:spacing w:after="50"/>
      </w:pPr>
    </w:p>
    <w:p>
      <w:pPr>
        <w:spacing w:after="50" w:before="5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4.7节 第12题. 编写Power函数。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(a)-(c) Power和Power2函数：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Power &lt;- function() { print(2^3) }  # 输出8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Power2 &lt;- function(x, a) { print(x^a) }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Power2(3,8)  # 6561; Power2(10,3)  # 1000; Power2(8,17)  # 2.25e15; Power2(131,3)  # 2248091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(d) Power3函数（返回值）：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Power3 &lt;- function(x, a) { return(x^a) }</w:t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(e) x² 和 log(x²) 的图形：</w:t>
      </w:r>
    </w:p>
    <w:p>
      <w:pPr>
        <w:spacing w:after="100" w:before="100"/>
      </w:pPr>
      <w:r>
        <w:drawing>
          <wp:inline distT="0" distB="0" distL="0" distR="0">
            <wp:extent cx="4000500" cy="2857500"/>
            <wp:effectExtent t="0" r="0" b="0" l="0"/>
            <wp:docPr id="1" name="q4_12_幂函数.png" descr="q4_12_幂函数.png" title="q4_12_幂函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/>
      </w:pPr>
    </w:p>
    <w:p>
      <w:pPr>
        <w:spacing w:after="50" w:before="50"/>
        <w:ind w:left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(f) PlotPower函数：</w:t>
      </w:r>
    </w:p>
    <w:p>
      <w:pPr>
        <w:spacing w:after="30" w:before="3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PlotPower &lt;- function(x, a) { plot(x, x^a, type='b') }</w:t>
      </w:r>
    </w:p>
    <w:p>
      <w:pPr>
        <w:spacing w:after="100" w:before="100"/>
      </w:pPr>
      <w:r>
        <w:drawing>
          <wp:inline distT="0" distB="0" distL="0" distR="0">
            <wp:extent cx="4762500" cy="2381250"/>
            <wp:effectExtent t="0" r="0" b="0" l="0"/>
            <wp:docPr id="1" name="q4_12_PlotPower.png" descr="q4_12_PlotPower.png" title="q4_12_PlotPo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6fb01f5e3fc0968b78fc5e80439034b739a8f0.png"/><Relationship Id="rId8" Type="http://schemas.openxmlformats.org/officeDocument/2006/relationships/image" Target="media/365d01cdbd7e4982b223ae15ff0bf5e6f478d9d8.png"/><Relationship Id="rId9" Type="http://schemas.openxmlformats.org/officeDocument/2006/relationships/image" Target="media/c7d38389865f50afa588d8254006457f160fe7b6.png"/><Relationship Id="rId10" Type="http://schemas.openxmlformats.org/officeDocument/2006/relationships/image" Target="media/3de4cb17d9b1fc798b2411cfb45b5a36ef30c613.png"/><Relationship Id="rId11" Type="http://schemas.openxmlformats.org/officeDocument/2006/relationships/image" Target="media/7f50520b2187127d86549e0a4b8b76800a4c2980.png"/><Relationship Id="rId12" Type="http://schemas.openxmlformats.org/officeDocument/2006/relationships/image" Target="media/d36db5ae50e01fdbe916d76878f81a1f2c944ed0.png"/><Relationship Id="rId13" Type="http://schemas.openxmlformats.org/officeDocument/2006/relationships/image" Target="media/3f56770e16242e6155fae36dff4046c662c8cf46.png"/><Relationship Id="rId14" Type="http://schemas.openxmlformats.org/officeDocument/2006/relationships/image" Target="media/ef5dd2356db5ae4dd7fea85d281642927cd4a9ee.png"/><Relationship Id="rId15" Type="http://schemas.openxmlformats.org/officeDocument/2006/relationships/image" Target="media/f4c7b2e414b5731a04200b25bd6f067199a0505a.png"/><Relationship Id="rId16" Type="http://schemas.openxmlformats.org/officeDocument/2006/relationships/image" Target="media/f0927764d2a03fe2c04530967c3338cc03d47325.png"/><Relationship Id="rId17" Type="http://schemas.openxmlformats.org/officeDocument/2006/relationships/image" Target="media/92f7c4ad53e1e0319474b21ab1fbcce4c80e8425.png"/><Relationship Id="rId18" Type="http://schemas.openxmlformats.org/officeDocument/2006/relationships/image" Target="media/f1f85779379921bbc7702306706a8a11dace3be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2026-05-25T14:07:58.760Z</dcterms:created>
  <dcterms:modified xsi:type="dcterms:W3CDTF">2026-05-25T14:07:58.761Z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